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84a9ccab3f27808033263f94d6a387f7f573d7a"/>
    <w:p>
      <w:pPr>
        <w:pStyle w:val="Heading1"/>
        <w:spacing w:after="60"/>
        <w:jc w:val="center"/>
      </w:pPr>
      <w:r>
        <w:rPr>
          <w:rFonts w:ascii="Times New Roman" w:hAnsi="Times New Roman" w:eastAsia="Times New Roman"/>
          <w:color w:val="000000"/>
        </w:rPr>
        <w:t xml:space="preserve">Положение об имуществе общего пользования СНТ</w:t>
      </w:r>
    </w:p>
    <w:bookmarkStart w:id="20" w:name="наименование-снт"/>
    <w:p>
      <w:pPr>
        <w:pStyle w:val="Heading2"/>
        <w:spacing w:after="60"/>
        <w:jc w:val="center"/>
      </w:pPr>
      <w:r>
        <w:rPr>
          <w:rFonts w:ascii="Times New Roman" w:hAnsi="Times New Roman" w:eastAsia="Times New Roman"/>
          <w:color w:val="000000"/>
        </w:rPr>
        <w:t xml:space="preserve">[Наименование СНТ]</w:t>
      </w:r>
    </w:p>
    <w:p>
      <w:pPr>
        <w:pStyle w:val="FirstParagraph"/>
      </w:pPr>
      <w:r>
        <w:rPr>
          <w:rFonts w:ascii="Times New Roman" w:hAnsi="Times New Roman" w:eastAsia="Times New Roman"/>
          <w:color w:val="000000"/>
        </w:rPr>
        <w:t xml:space="preserve">УТВЕРЖДЕНО</w:t>
      </w:r>
      <w:r>
        <w:rPr>
          <w:rFonts w:ascii="Times New Roman" w:hAnsi="Times New Roman" w:eastAsia="Times New Roman"/>
          <w:color w:val="000000"/>
        </w:rPr>
        <w:br/>
      </w:r>
      <w:r>
        <w:rPr>
          <w:rFonts w:ascii="Times New Roman" w:hAnsi="Times New Roman" w:eastAsia="Times New Roman"/>
          <w:color w:val="000000"/>
        </w:rPr>
        <w:t xml:space="preserve">Решением общего собрания членов</w:t>
      </w:r>
      <w:r>
        <w:rPr>
          <w:rFonts w:ascii="Times New Roman" w:hAnsi="Times New Roman" w:eastAsia="Times New Roman"/>
          <w:color w:val="000000"/>
        </w:rPr>
        <w:br/>
      </w:r>
      <w:r>
        <w:rPr>
          <w:rFonts w:ascii="Times New Roman" w:hAnsi="Times New Roman" w:eastAsia="Times New Roman"/>
          <w:color w:val="000000"/>
        </w:rPr>
        <w:t xml:space="preserve">[Наименование СНТ]</w:t>
      </w:r>
      <w:r>
        <w:rPr>
          <w:rFonts w:ascii="Times New Roman" w:hAnsi="Times New Roman" w:eastAsia="Times New Roman"/>
          <w:color w:val="000000"/>
        </w:rPr>
        <w:br/>
      </w:r>
      <w:r>
        <w:rPr>
          <w:rFonts w:ascii="Times New Roman" w:hAnsi="Times New Roman" w:eastAsia="Times New Roman"/>
          <w:color w:val="000000"/>
        </w:rPr>
        <w:t xml:space="preserve">Протокол № ___ от «_</w:t>
      </w:r>
      <w:r>
        <w:rPr>
          <w:rFonts w:ascii="Times New Roman" w:hAnsi="Times New Roman" w:eastAsia="Times New Roman"/>
          <w:b/>
          <w:bCs/>
          <w:color w:val="000000"/>
        </w:rPr>
        <w:t xml:space="preserve">» _________ 20</w:t>
      </w:r>
      <w:r>
        <w:rPr>
          <w:rFonts w:ascii="Times New Roman" w:hAnsi="Times New Roman" w:eastAsia="Times New Roman"/>
          <w:color w:val="000000"/>
        </w:rPr>
        <w:t xml:space="preserve"> </w:t>
      </w:r>
      <w:r>
        <w:rPr>
          <w:rFonts w:ascii="Times New Roman" w:hAnsi="Times New Roman" w:eastAsia="Times New Roman"/>
          <w:color w:val="000000"/>
        </w:rPr>
        <w:t xml:space="preserve">г.</w:t>
      </w:r>
    </w:p>
    <w:p>
      <w:r>
        <w:rPr>
          <w:rFonts w:ascii="Times New Roman" w:hAnsi="Times New Roman" w:eastAsia="Times New Roman"/>
          <w:color w:val="000000"/>
        </w:rPr>
        <w:pict>
          <v:rect style="width:0;height:1.5pt" o:hralign="center" o:hrstd="t" o:hr="t"/>
        </w:pict>
      </w:r>
    </w:p>
    <w:p>
      <w:pPr>
        <w:pStyle w:val="BlockText"/>
      </w:pPr>
      <w:r>
        <w:rPr>
          <w:rFonts w:ascii="Times New Roman" w:hAnsi="Times New Roman" w:eastAsia="Times New Roman"/>
          <w:b/>
          <w:bCs/>
          <w:color w:val="000000"/>
        </w:rPr>
        <w:t xml:space="preserve">Примечание к образцу.</w:t>
      </w:r>
      <w:r>
        <w:rPr>
          <w:rFonts w:ascii="Times New Roman" w:hAnsi="Times New Roman" w:eastAsia="Times New Roman"/>
          <w:color w:val="000000"/>
        </w:rPr>
        <w:t xml:space="preserve"> </w:t>
      </w:r>
      <w:r>
        <w:rPr>
          <w:rFonts w:ascii="Times New Roman" w:hAnsi="Times New Roman" w:eastAsia="Times New Roman"/>
          <w:color w:val="000000"/>
        </w:rPr>
        <w:t xml:space="preserve">Актуализировано по состоянию на 06.09.2026. Перед применением необходимо проверить зарегистрированные права на каждый существенный объект: имущество общего пользования может принадлежать собственникам участков на праве общей долевой собственности либо Товариществу — в зависимости от вида объекта, времени и основания приобретения и зарегистрированного права.</w:t>
      </w:r>
    </w:p>
    <w:p>
      <w:r>
        <w:rPr>
          <w:rFonts w:ascii="Times New Roman" w:hAnsi="Times New Roman" w:eastAsia="Times New Roman"/>
          <w:color w:val="000000"/>
        </w:rPr>
        <w:pict>
          <v:rect style="width:0;height:1.5pt" o:hralign="center" o:hrstd="t" o:hr="t"/>
        </w:pict>
      </w:r>
    </w:p>
    <w:bookmarkEnd w:id="20"/>
    <w:bookmarkStart w:id="21" w:name="Xc4211d805ccb1d1758c2b033f718de644cb7c63"/>
    <w:p>
      <w:pPr>
        <w:pStyle w:val="Heading2"/>
      </w:pPr>
      <w:r>
        <w:rPr>
          <w:rFonts w:ascii="Times New Roman" w:hAnsi="Times New Roman" w:eastAsia="Times New Roman"/>
          <w:color w:val="000000"/>
        </w:rPr>
        <w:t xml:space="preserve">1. Общие положения</w:t>
      </w:r>
    </w:p>
    <w:p>
      <w:pPr>
        <w:pStyle w:val="FirstParagraph"/>
      </w:pPr>
      <w:r>
        <w:rPr>
          <w:rFonts w:ascii="Times New Roman" w:hAnsi="Times New Roman" w:eastAsia="Times New Roman"/>
          <w:color w:val="000000"/>
        </w:rPr>
        <w:t xml:space="preserve">1.1. Настоящее Положение разработано в соответствии с Федеральным законом № 217-ФЗ, Гражданским кодексом Российской Федерации, законодательством о государственной регистрации недвижимости, бухгалтерском учёте и Уставом Товарищества.</w:t>
      </w:r>
    </w:p>
    <w:p>
      <w:pPr>
        <w:pStyle w:val="BodyText"/>
      </w:pPr>
      <w:r>
        <w:rPr>
          <w:rFonts w:ascii="Times New Roman" w:hAnsi="Times New Roman" w:eastAsia="Times New Roman"/>
          <w:color w:val="000000"/>
        </w:rPr>
        <w:t xml:space="preserve">1.2. Под имуществом общего пользования понимается имущество, предназначенное для удовлетворения общих потребностей правообладателей земельных участков в границах территории садоводства в значении, установленном 217-ФЗ.</w:t>
      </w:r>
    </w:p>
    <w:p>
      <w:pPr>
        <w:pStyle w:val="BodyText"/>
      </w:pPr>
      <w:r>
        <w:rPr>
          <w:rFonts w:ascii="Times New Roman" w:hAnsi="Times New Roman" w:eastAsia="Times New Roman"/>
          <w:color w:val="000000"/>
        </w:rPr>
        <w:t xml:space="preserve">1.3. Правовой режим каждого объекта определяется законом и документами о праве. Настоящее Положение не устанавливает право собственности на объект вопреки сведениям ЕГРН и закону.</w:t>
      </w:r>
    </w:p>
    <w:p>
      <w:pPr>
        <w:pStyle w:val="BodyText"/>
      </w:pPr>
      <w:r>
        <w:rPr>
          <w:rFonts w:ascii="Times New Roman" w:hAnsi="Times New Roman" w:eastAsia="Times New Roman"/>
          <w:color w:val="000000"/>
        </w:rPr>
        <w:t xml:space="preserve">1.4. Недвижимое имущество общего пользования, созданное или приобретённое после вступления в силу 217-ФЗ, в общем случае принадлежит собственникам земельных участков в границах территории садоводства на праве общей долевой собственности пропорционально площади их участков в соответствии со статьёй 25 217-ФЗ.</w:t>
      </w:r>
    </w:p>
    <w:p>
      <w:pPr>
        <w:pStyle w:val="BodyText"/>
      </w:pPr>
      <w:r>
        <w:rPr>
          <w:rFonts w:ascii="Times New Roman" w:hAnsi="Times New Roman" w:eastAsia="Times New Roman"/>
          <w:color w:val="000000"/>
        </w:rPr>
        <w:t xml:space="preserve">1.5. Отдельное имущество общего пользования и иное имущество может находиться в собственности Товарищества как юридического лица, если такой режим следует из закона и правоустанавливающих документов.</w:t>
      </w:r>
    </w:p>
    <w:bookmarkEnd w:id="21"/>
    <w:bookmarkStart w:id="22" w:name="Xbdae3fdc2fdb99280accdb2f76cf44ae55d7689"/>
    <w:p>
      <w:pPr>
        <w:pStyle w:val="Heading2"/>
      </w:pPr>
      <w:r>
        <w:rPr>
          <w:rFonts w:ascii="Times New Roman" w:hAnsi="Times New Roman" w:eastAsia="Times New Roman"/>
          <w:color w:val="000000"/>
        </w:rPr>
        <w:t xml:space="preserve">2. Категории имущества</w:t>
      </w:r>
    </w:p>
    <w:p>
      <w:pPr>
        <w:pStyle w:val="FirstParagraph"/>
      </w:pPr>
      <w:r>
        <w:rPr>
          <w:rFonts w:ascii="Times New Roman" w:hAnsi="Times New Roman" w:eastAsia="Times New Roman"/>
          <w:color w:val="000000"/>
        </w:rPr>
        <w:t xml:space="preserve">2.1. Недвижимое имущество общего пользования: земельные участки общего назначения, дороги и проезды, инженерные сети и сооружения, здания и иные объекты недвижимости, предназначенные для общих нужд.</w:t>
      </w:r>
    </w:p>
    <w:p>
      <w:pPr>
        <w:pStyle w:val="BodyText"/>
      </w:pPr>
      <w:r>
        <w:rPr>
          <w:rFonts w:ascii="Times New Roman" w:hAnsi="Times New Roman" w:eastAsia="Times New Roman"/>
          <w:color w:val="000000"/>
        </w:rPr>
        <w:t xml:space="preserve">2.2. Движимое имущество, используемое для общих нужд: техника, инструменты, противопожарное оборудование, инвентарь, средства связи и иные материальные объекты.</w:t>
      </w:r>
    </w:p>
    <w:p>
      <w:pPr>
        <w:pStyle w:val="BodyText"/>
      </w:pPr>
      <w:r>
        <w:rPr>
          <w:rFonts w:ascii="Times New Roman" w:hAnsi="Times New Roman" w:eastAsia="Times New Roman"/>
          <w:color w:val="000000"/>
        </w:rPr>
        <w:t xml:space="preserve">2.3. Имущество Товарищества как юридического лица, не относящееся к имуществу общего пользования, учитывается отдельно.</w:t>
      </w:r>
    </w:p>
    <w:p>
      <w:pPr>
        <w:pStyle w:val="BodyText"/>
      </w:pPr>
      <w:r>
        <w:rPr>
          <w:rFonts w:ascii="Times New Roman" w:hAnsi="Times New Roman" w:eastAsia="Times New Roman"/>
          <w:color w:val="000000"/>
        </w:rPr>
        <w:t xml:space="preserve">2.4. Денежные средства на счетах, депозиты, права использования программного обеспечения и иные финансовые или нематериальные активы не следует механически включать в категорию «имущество общего пользования»; их учёт ведётся по соответствующим правилам бухгалтерского и гражданского законодательства.</w:t>
      </w:r>
    </w:p>
    <w:bookmarkEnd w:id="22"/>
    <w:bookmarkStart w:id="23" w:name="Xaf80869e02c51fdd66c52b7a8b46c7d94472d0e"/>
    <w:p>
      <w:pPr>
        <w:pStyle w:val="Heading2"/>
      </w:pPr>
      <w:r>
        <w:rPr>
          <w:rFonts w:ascii="Times New Roman" w:hAnsi="Times New Roman" w:eastAsia="Times New Roman"/>
          <w:color w:val="000000"/>
        </w:rPr>
        <w:t xml:space="preserve">3. Создание и приобретение</w:t>
      </w:r>
    </w:p>
    <w:p>
      <w:pPr>
        <w:pStyle w:val="FirstParagraph"/>
      </w:pPr>
      <w:r>
        <w:rPr>
          <w:rFonts w:ascii="Times New Roman" w:hAnsi="Times New Roman" w:eastAsia="Times New Roman"/>
          <w:color w:val="000000"/>
        </w:rPr>
        <w:t xml:space="preserve">3.1. Решение о создании или приобретении имущества общего пользования и порядке его использования относится к компетенции общего собрания в случаях, предусмотренных статьёй 17 217-ФЗ.</w:t>
      </w:r>
    </w:p>
    <w:p>
      <w:pPr>
        <w:pStyle w:val="BodyText"/>
      </w:pPr>
      <w:r>
        <w:rPr>
          <w:rFonts w:ascii="Times New Roman" w:hAnsi="Times New Roman" w:eastAsia="Times New Roman"/>
          <w:color w:val="000000"/>
        </w:rPr>
        <w:t xml:space="preserve">3.2. Правление вправе приобретать расходные материалы, инвентарь и иное имущество в пределах утверждённой Сметы и своей компетенции, если такое приобретение не относится законом к исключительной компетенции общего собрания.</w:t>
      </w:r>
    </w:p>
    <w:p>
      <w:pPr>
        <w:pStyle w:val="BodyText"/>
      </w:pPr>
      <w:r>
        <w:rPr>
          <w:rFonts w:ascii="Times New Roman" w:hAnsi="Times New Roman" w:eastAsia="Times New Roman"/>
          <w:color w:val="000000"/>
        </w:rPr>
        <w:t xml:space="preserve">3.3. Приобретение подтверждается первичными документами; недвижимое имущество регистрируется в установленном законом порядке.</w:t>
      </w:r>
    </w:p>
    <w:bookmarkEnd w:id="23"/>
    <w:bookmarkStart w:id="24" w:name="X50160e9a2c2b570a576c2ac6408704aa75671e4"/>
    <w:p>
      <w:pPr>
        <w:pStyle w:val="Heading2"/>
      </w:pPr>
      <w:r>
        <w:rPr>
          <w:rFonts w:ascii="Times New Roman" w:hAnsi="Times New Roman" w:eastAsia="Times New Roman"/>
          <w:color w:val="000000"/>
        </w:rPr>
        <w:t xml:space="preserve">4. Реестр имущества и инвентаризация</w:t>
      </w:r>
    </w:p>
    <w:p>
      <w:pPr>
        <w:pStyle w:val="FirstParagraph"/>
      </w:pPr>
      <w:r>
        <w:rPr>
          <w:rFonts w:ascii="Times New Roman" w:hAnsi="Times New Roman" w:eastAsia="Times New Roman"/>
          <w:color w:val="000000"/>
        </w:rPr>
        <w:t xml:space="preserve">4.1. Товарищество ведёт реестр объектов, находящихся на его балансе, ответственном хранении или в управлении. Для объектов общей долевой собственности в реестре отдельно указывается собственник/правовой режим.</w:t>
      </w:r>
    </w:p>
    <w:p>
      <w:pPr>
        <w:pStyle w:val="BodyText"/>
      </w:pPr>
      <w:r>
        <w:rPr>
          <w:rFonts w:ascii="Times New Roman" w:hAnsi="Times New Roman" w:eastAsia="Times New Roman"/>
          <w:color w:val="000000"/>
        </w:rPr>
        <w:t xml:space="preserve">4.2. Рекомендуемые поля реестра:</w:t>
      </w:r>
    </w:p>
    <w:p>
      <w:pPr>
        <w:pStyle w:val="Compact"/>
        <w:numPr>
          <w:ilvl w:val="0"/>
          <w:numId w:val="1001"/>
        </w:numPr>
      </w:pPr>
      <w:r>
        <w:rPr>
          <w:rFonts w:ascii="Times New Roman" w:hAnsi="Times New Roman" w:eastAsia="Times New Roman"/>
          <w:color w:val="000000"/>
        </w:rPr>
        <w:t xml:space="preserve">инвентарный/учётный номер;</w:t>
      </w:r>
    </w:p>
    <w:p>
      <w:pPr>
        <w:pStyle w:val="Compact"/>
        <w:numPr>
          <w:ilvl w:val="0"/>
          <w:numId w:val="1001"/>
        </w:numPr>
      </w:pPr>
      <w:r>
        <w:rPr>
          <w:rFonts w:ascii="Times New Roman" w:hAnsi="Times New Roman" w:eastAsia="Times New Roman"/>
          <w:color w:val="000000"/>
        </w:rPr>
        <w:t xml:space="preserve">наименование и характеристики;</w:t>
      </w:r>
    </w:p>
    <w:p>
      <w:pPr>
        <w:pStyle w:val="Compact"/>
        <w:numPr>
          <w:ilvl w:val="0"/>
          <w:numId w:val="1001"/>
        </w:numPr>
      </w:pPr>
      <w:r>
        <w:rPr>
          <w:rFonts w:ascii="Times New Roman" w:hAnsi="Times New Roman" w:eastAsia="Times New Roman"/>
          <w:color w:val="000000"/>
        </w:rPr>
        <w:t xml:space="preserve">правовой режим и собственник;</w:t>
      </w:r>
    </w:p>
    <w:p>
      <w:pPr>
        <w:pStyle w:val="Compact"/>
        <w:numPr>
          <w:ilvl w:val="0"/>
          <w:numId w:val="1001"/>
        </w:numPr>
      </w:pPr>
      <w:r>
        <w:rPr>
          <w:rFonts w:ascii="Times New Roman" w:hAnsi="Times New Roman" w:eastAsia="Times New Roman"/>
          <w:color w:val="000000"/>
        </w:rPr>
        <w:t xml:space="preserve">основание возникновения права или управления;</w:t>
      </w:r>
    </w:p>
    <w:p>
      <w:pPr>
        <w:pStyle w:val="Compact"/>
        <w:numPr>
          <w:ilvl w:val="0"/>
          <w:numId w:val="1001"/>
        </w:numPr>
      </w:pPr>
      <w:r>
        <w:rPr>
          <w:rFonts w:ascii="Times New Roman" w:hAnsi="Times New Roman" w:eastAsia="Times New Roman"/>
          <w:color w:val="000000"/>
        </w:rPr>
        <w:t xml:space="preserve">дата приобретения/создания;</w:t>
      </w:r>
    </w:p>
    <w:p>
      <w:pPr>
        <w:pStyle w:val="Compact"/>
        <w:numPr>
          <w:ilvl w:val="0"/>
          <w:numId w:val="1001"/>
        </w:numPr>
      </w:pPr>
      <w:r>
        <w:rPr>
          <w:rFonts w:ascii="Times New Roman" w:hAnsi="Times New Roman" w:eastAsia="Times New Roman"/>
          <w:color w:val="000000"/>
        </w:rPr>
        <w:t xml:space="preserve">первоначальная стоимость, если применимо;</w:t>
      </w:r>
    </w:p>
    <w:p>
      <w:pPr>
        <w:pStyle w:val="Compact"/>
        <w:numPr>
          <w:ilvl w:val="0"/>
          <w:numId w:val="1001"/>
        </w:numPr>
      </w:pPr>
      <w:r>
        <w:rPr>
          <w:rFonts w:ascii="Times New Roman" w:hAnsi="Times New Roman" w:eastAsia="Times New Roman"/>
          <w:color w:val="000000"/>
        </w:rPr>
        <w:t xml:space="preserve">источник финансирования;</w:t>
      </w:r>
    </w:p>
    <w:p>
      <w:pPr>
        <w:pStyle w:val="Compact"/>
        <w:numPr>
          <w:ilvl w:val="0"/>
          <w:numId w:val="1001"/>
        </w:numPr>
      </w:pPr>
      <w:r>
        <w:rPr>
          <w:rFonts w:ascii="Times New Roman" w:hAnsi="Times New Roman" w:eastAsia="Times New Roman"/>
          <w:color w:val="000000"/>
        </w:rPr>
        <w:t xml:space="preserve">место нахождения;</w:t>
      </w:r>
    </w:p>
    <w:p>
      <w:pPr>
        <w:pStyle w:val="Compact"/>
        <w:numPr>
          <w:ilvl w:val="0"/>
          <w:numId w:val="1001"/>
        </w:numPr>
      </w:pPr>
      <w:r>
        <w:rPr>
          <w:rFonts w:ascii="Times New Roman" w:hAnsi="Times New Roman" w:eastAsia="Times New Roman"/>
          <w:color w:val="000000"/>
        </w:rPr>
        <w:t xml:space="preserve">ответственное лицо;</w:t>
      </w:r>
    </w:p>
    <w:p>
      <w:pPr>
        <w:pStyle w:val="Compact"/>
        <w:numPr>
          <w:ilvl w:val="0"/>
          <w:numId w:val="1001"/>
        </w:numPr>
      </w:pPr>
      <w:r>
        <w:rPr>
          <w:rFonts w:ascii="Times New Roman" w:hAnsi="Times New Roman" w:eastAsia="Times New Roman"/>
          <w:color w:val="000000"/>
        </w:rPr>
        <w:t xml:space="preserve">состояние;</w:t>
      </w:r>
    </w:p>
    <w:p>
      <w:pPr>
        <w:pStyle w:val="Compact"/>
        <w:numPr>
          <w:ilvl w:val="0"/>
          <w:numId w:val="1001"/>
        </w:numPr>
      </w:pPr>
      <w:r>
        <w:rPr>
          <w:rFonts w:ascii="Times New Roman" w:hAnsi="Times New Roman" w:eastAsia="Times New Roman"/>
          <w:color w:val="000000"/>
        </w:rPr>
        <w:t xml:space="preserve">сведения о ремонте и выбытии.</w:t>
      </w:r>
    </w:p>
    <w:p>
      <w:pPr>
        <w:pStyle w:val="FirstParagraph"/>
      </w:pPr>
      <w:r>
        <w:rPr>
          <w:rFonts w:ascii="Times New Roman" w:hAnsi="Times New Roman" w:eastAsia="Times New Roman"/>
          <w:color w:val="000000"/>
        </w:rPr>
        <w:t xml:space="preserve">4.3. Инвентаризация проводится не реже периодичности, установленной законодательством и учётной политикой, а также при смене материально ответственного работника, передаче дел председателя и в иных случаях, когда это необходимо для подтверждения фактического наличия имущества.</w:t>
      </w:r>
    </w:p>
    <w:p>
      <w:pPr>
        <w:pStyle w:val="BodyText"/>
      </w:pPr>
      <w:r>
        <w:rPr>
          <w:rFonts w:ascii="Times New Roman" w:hAnsi="Times New Roman" w:eastAsia="Times New Roman"/>
          <w:color w:val="000000"/>
        </w:rPr>
        <w:t xml:space="preserve">4.4. Участие ревизионной комиссии в проверке состава и состояния имущества осуществляется в рамках статьи 20 217-ФЗ.</w:t>
      </w:r>
    </w:p>
    <w:bookmarkEnd w:id="24"/>
    <w:bookmarkStart w:id="25" w:name="X76eeb244b3779686d73d88b3f1aadbc1dbdfea8"/>
    <w:p>
      <w:pPr>
        <w:pStyle w:val="Heading2"/>
      </w:pPr>
      <w:r>
        <w:rPr>
          <w:rFonts w:ascii="Times New Roman" w:hAnsi="Times New Roman" w:eastAsia="Times New Roman"/>
          <w:color w:val="000000"/>
        </w:rPr>
        <w:t xml:space="preserve">5. Закрепление движимого имущества</w:t>
      </w:r>
    </w:p>
    <w:p>
      <w:pPr>
        <w:pStyle w:val="FirstParagraph"/>
      </w:pPr>
      <w:r>
        <w:rPr>
          <w:rFonts w:ascii="Times New Roman" w:hAnsi="Times New Roman" w:eastAsia="Times New Roman"/>
          <w:color w:val="000000"/>
        </w:rPr>
        <w:t xml:space="preserve">5.1. Движимое имущество может закрепляться за работником, членом правления или иным лицом, которому оно передано для выполнения конкретной задачи.</w:t>
      </w:r>
    </w:p>
    <w:p>
      <w:pPr>
        <w:pStyle w:val="BodyText"/>
      </w:pPr>
      <w:r>
        <w:rPr>
          <w:rFonts w:ascii="Times New Roman" w:hAnsi="Times New Roman" w:eastAsia="Times New Roman"/>
          <w:color w:val="000000"/>
        </w:rPr>
        <w:t xml:space="preserve">5.2. Передача оформляется актом с указанием объекта, состояния, срока/цели использования и обязанностей по хранению.</w:t>
      </w:r>
    </w:p>
    <w:p>
      <w:pPr>
        <w:pStyle w:val="BodyText"/>
      </w:pPr>
      <w:r>
        <w:rPr>
          <w:rFonts w:ascii="Times New Roman" w:hAnsi="Times New Roman" w:eastAsia="Times New Roman"/>
          <w:color w:val="000000"/>
        </w:rPr>
        <w:t xml:space="preserve">5.3. Акт закрепления сам по себе не является договором о полной материальной ответственности работника. Материальная ответственность работника определяется ТК РФ; ответственность иного физического лица — законом и соответствующим гражданско-правовым основанием.</w:t>
      </w:r>
    </w:p>
    <w:bookmarkEnd w:id="25"/>
    <w:bookmarkStart w:id="26" w:name="Xf719ff2444c38b74e47010db2111964a6abadc7"/>
    <w:p>
      <w:pPr>
        <w:pStyle w:val="Heading2"/>
      </w:pPr>
      <w:r>
        <w:rPr>
          <w:rFonts w:ascii="Times New Roman" w:hAnsi="Times New Roman" w:eastAsia="Times New Roman"/>
          <w:color w:val="000000"/>
        </w:rPr>
        <w:t xml:space="preserve">6. Использование и временная выдача</w:t>
      </w:r>
    </w:p>
    <w:p>
      <w:pPr>
        <w:pStyle w:val="FirstParagraph"/>
      </w:pPr>
      <w:r>
        <w:rPr>
          <w:rFonts w:ascii="Times New Roman" w:hAnsi="Times New Roman" w:eastAsia="Times New Roman"/>
          <w:color w:val="000000"/>
        </w:rPr>
        <w:t xml:space="preserve">6.1. Имущество используется в соответствии с его назначением и решениями органов Товарищества, принятыми в пределах компетенции.</w:t>
      </w:r>
    </w:p>
    <w:p>
      <w:pPr>
        <w:pStyle w:val="BodyText"/>
      </w:pPr>
      <w:r>
        <w:rPr>
          <w:rFonts w:ascii="Times New Roman" w:hAnsi="Times New Roman" w:eastAsia="Times New Roman"/>
          <w:color w:val="000000"/>
        </w:rPr>
        <w:t xml:space="preserve">6.2. Порядок временной выдачи инструмента и инвентаря может предусматривать журнал выдачи с указанием даты, получателя, объекта, цели, срока возврата и состояния.</w:t>
      </w:r>
    </w:p>
    <w:p>
      <w:pPr>
        <w:pStyle w:val="BodyText"/>
      </w:pPr>
      <w:r>
        <w:rPr>
          <w:rFonts w:ascii="Times New Roman" w:hAnsi="Times New Roman" w:eastAsia="Times New Roman"/>
          <w:color w:val="000000"/>
        </w:rPr>
        <w:t xml:space="preserve">6.3. Отказ в выдаче допустим по объективным причинам, связанным с назначением имущества, безопасностью, отсутствием права Товарищества предоставлять конкретный объект во временное пользование или риском повреждения. Наличие задолженности по взносам само по себе не используется как универсальное основание для лишения права пользования имуществом общего пользования.</w:t>
      </w:r>
    </w:p>
    <w:bookmarkEnd w:id="26"/>
    <w:bookmarkStart w:id="27" w:name="X2071e9bd32b1a197665cf0a6483db9f5d2543d6"/>
    <w:p>
      <w:pPr>
        <w:pStyle w:val="Heading2"/>
      </w:pPr>
      <w:r>
        <w:rPr>
          <w:rFonts w:ascii="Times New Roman" w:hAnsi="Times New Roman" w:eastAsia="Times New Roman"/>
          <w:color w:val="000000"/>
        </w:rPr>
        <w:t xml:space="preserve">7. Ремонт и обслуживание</w:t>
      </w:r>
    </w:p>
    <w:p>
      <w:pPr>
        <w:pStyle w:val="FirstParagraph"/>
      </w:pPr>
      <w:r>
        <w:rPr>
          <w:rFonts w:ascii="Times New Roman" w:hAnsi="Times New Roman" w:eastAsia="Times New Roman"/>
          <w:color w:val="000000"/>
        </w:rPr>
        <w:t xml:space="preserve">7.1. Текущий ремонт осуществляется в пределах утверждённой Сметы и компетенции исполнительных органов.</w:t>
      </w:r>
    </w:p>
    <w:p>
      <w:pPr>
        <w:pStyle w:val="BodyText"/>
      </w:pPr>
      <w:r>
        <w:rPr>
          <w:rFonts w:ascii="Times New Roman" w:hAnsi="Times New Roman" w:eastAsia="Times New Roman"/>
          <w:color w:val="000000"/>
        </w:rPr>
        <w:t xml:space="preserve">7.2. Решения о создании, реконструкции, приобретении либо существенном изменении объектов имущества общего пользования принимаются общим собранием в случаях, предусмотренных 217-ФЗ.</w:t>
      </w:r>
    </w:p>
    <w:bookmarkEnd w:id="27"/>
    <w:bookmarkStart w:id="28" w:name="Xb1acf7cd6fd91c56618b7265cce831dd78bc6b5"/>
    <w:p>
      <w:pPr>
        <w:pStyle w:val="Heading2"/>
      </w:pPr>
      <w:r>
        <w:rPr>
          <w:rFonts w:ascii="Times New Roman" w:hAnsi="Times New Roman" w:eastAsia="Times New Roman"/>
          <w:color w:val="000000"/>
        </w:rPr>
        <w:t xml:space="preserve">8. Передача и отчуждение</w:t>
      </w:r>
    </w:p>
    <w:p>
      <w:pPr>
        <w:pStyle w:val="FirstParagraph"/>
      </w:pPr>
      <w:r>
        <w:rPr>
          <w:rFonts w:ascii="Times New Roman" w:hAnsi="Times New Roman" w:eastAsia="Times New Roman"/>
          <w:color w:val="000000"/>
        </w:rPr>
        <w:t xml:space="preserve">8.1. Передача недвижимого имущества общего пользования в общую долевую собственность, государственную/муниципальную собственность или ресурсоснабжающим организациям осуществляется только в порядке и при наличии решений и согласий, предусмотренных статьями 17 и 25 217-ФЗ.</w:t>
      </w:r>
    </w:p>
    <w:p>
      <w:pPr>
        <w:pStyle w:val="BodyText"/>
      </w:pPr>
      <w:r>
        <w:rPr>
          <w:rFonts w:ascii="Times New Roman" w:hAnsi="Times New Roman" w:eastAsia="Times New Roman"/>
          <w:color w:val="000000"/>
        </w:rPr>
        <w:t xml:space="preserve">8.2. Правление не вправе отчуждать имущество, распоряжение которым отнесено законом к компетенции общего собрания или собственников имущества.</w:t>
      </w:r>
    </w:p>
    <w:bookmarkEnd w:id="28"/>
    <w:bookmarkStart w:id="29" w:name="X56202704a17aa335a85d4a609313fea37f34033"/>
    <w:p>
      <w:pPr>
        <w:pStyle w:val="Heading2"/>
      </w:pPr>
      <w:r>
        <w:rPr>
          <w:rFonts w:ascii="Times New Roman" w:hAnsi="Times New Roman" w:eastAsia="Times New Roman"/>
          <w:color w:val="000000"/>
        </w:rPr>
        <w:t xml:space="preserve">9. Списание движимого имущества</w:t>
      </w:r>
    </w:p>
    <w:p>
      <w:pPr>
        <w:pStyle w:val="FirstParagraph"/>
      </w:pPr>
      <w:r>
        <w:rPr>
          <w:rFonts w:ascii="Times New Roman" w:hAnsi="Times New Roman" w:eastAsia="Times New Roman"/>
          <w:color w:val="000000"/>
        </w:rPr>
        <w:t xml:space="preserve">9.1. Списание возможно при физическом износе, гибели, утрате, моральном устаревании или иной документально подтверждённой невозможности/нецелесообразности дальнейшего использования.</w:t>
      </w:r>
    </w:p>
    <w:p>
      <w:pPr>
        <w:pStyle w:val="BodyText"/>
      </w:pPr>
      <w:r>
        <w:rPr>
          <w:rFonts w:ascii="Times New Roman" w:hAnsi="Times New Roman" w:eastAsia="Times New Roman"/>
          <w:color w:val="000000"/>
        </w:rPr>
        <w:t xml:space="preserve">9.2. Списание объекта, принадлежащего Товариществу, оформляется комиссионным актом и отражается в бухгалтерском и инвентарном учёте. Для имущества, не принадлежащего Товариществу, акт Товарищества не прекращает право собственности и используется лишь как документ фиксации фактического состояния/выбытия в пределах полномочий Товарищества.</w:t>
      </w:r>
    </w:p>
    <w:p>
      <w:pPr>
        <w:pStyle w:val="BodyText"/>
      </w:pPr>
      <w:r>
        <w:rPr>
          <w:rFonts w:ascii="Times New Roman" w:hAnsi="Times New Roman" w:eastAsia="Times New Roman"/>
          <w:color w:val="000000"/>
        </w:rPr>
        <w:t xml:space="preserve">9.3. Продажа, передача или утилизация имущества производится органом, имеющим соответствующее полномочие по закону, Уставу и решению собственника.</w:t>
      </w:r>
    </w:p>
    <w:bookmarkEnd w:id="29"/>
    <w:bookmarkStart w:id="30" w:name="X6a596334237dff3676b5e3641f35ed279cda614"/>
    <w:p>
      <w:pPr>
        <w:pStyle w:val="Heading2"/>
      </w:pPr>
      <w:r>
        <w:rPr>
          <w:rFonts w:ascii="Times New Roman" w:hAnsi="Times New Roman" w:eastAsia="Times New Roman"/>
          <w:color w:val="000000"/>
        </w:rPr>
        <w:t xml:space="preserve">10. Ответственность</w:t>
      </w:r>
    </w:p>
    <w:p>
      <w:pPr>
        <w:pStyle w:val="FirstParagraph"/>
      </w:pPr>
      <w:r>
        <w:rPr>
          <w:rFonts w:ascii="Times New Roman" w:hAnsi="Times New Roman" w:eastAsia="Times New Roman"/>
          <w:color w:val="000000"/>
        </w:rPr>
        <w:t xml:space="preserve">10.1. Работники отвечают за ущерб в порядке, установленном трудовым законодательством.</w:t>
      </w:r>
    </w:p>
    <w:p>
      <w:pPr>
        <w:pStyle w:val="BodyText"/>
      </w:pPr>
      <w:r>
        <w:rPr>
          <w:rFonts w:ascii="Times New Roman" w:hAnsi="Times New Roman" w:eastAsia="Times New Roman"/>
          <w:color w:val="000000"/>
        </w:rPr>
        <w:t xml:space="preserve">10.2. Члены Товарищества и иные физические лица отвечают за причинённый ими ущерб на общих основаниях гражданского законодательства либо на основании заключённого договора.</w:t>
      </w:r>
    </w:p>
    <w:p>
      <w:pPr>
        <w:pStyle w:val="BodyText"/>
      </w:pPr>
      <w:r>
        <w:rPr>
          <w:rFonts w:ascii="Times New Roman" w:hAnsi="Times New Roman" w:eastAsia="Times New Roman"/>
          <w:color w:val="000000"/>
        </w:rPr>
        <w:t xml:space="preserve">10.3. Факт ущерба, его размер, обстоятельства и вина подлежат установлению в предусмотренном законом порядке; Положение не устанавливает автоматическую обязанность возместить «рыночную стоимость» без такой проверки.</w:t>
      </w:r>
    </w:p>
    <w:bookmarkEnd w:id="30"/>
    <w:bookmarkStart w:id="31" w:name="Xcdc054f0052c841ec28f1afa9eb28a838a9093c"/>
    <w:p>
      <w:pPr>
        <w:pStyle w:val="Heading2"/>
      </w:pPr>
      <w:r>
        <w:rPr>
          <w:rFonts w:ascii="Times New Roman" w:hAnsi="Times New Roman" w:eastAsia="Times New Roman"/>
          <w:color w:val="000000"/>
        </w:rPr>
        <w:t xml:space="preserve">11. Заключительные положения</w:t>
      </w:r>
    </w:p>
    <w:p>
      <w:pPr>
        <w:pStyle w:val="FirstParagraph"/>
      </w:pPr>
      <w:r>
        <w:rPr>
          <w:rFonts w:ascii="Times New Roman" w:hAnsi="Times New Roman" w:eastAsia="Times New Roman"/>
          <w:color w:val="000000"/>
        </w:rPr>
        <w:t xml:space="preserve">11.1. Положение вступает в силу с даты утверждения общим собранием.</w:t>
      </w:r>
    </w:p>
    <w:p>
      <w:pPr>
        <w:pStyle w:val="BodyText"/>
      </w:pPr>
      <w:r>
        <w:rPr>
          <w:rFonts w:ascii="Times New Roman" w:hAnsi="Times New Roman" w:eastAsia="Times New Roman"/>
          <w:color w:val="000000"/>
        </w:rPr>
        <w:t xml:space="preserve">11.2. При расхождении настоящего Положения со сведениями ЕГРН, законом или правоустанавливающими документами применяется соответствующий правовой акт/документ.</w:t>
      </w:r>
    </w:p>
    <w:p>
      <w:r>
        <w:rPr>
          <w:rFonts w:ascii="Times New Roman" w:hAnsi="Times New Roman" w:eastAsia="Times New Roman"/>
          <w:color w:val="000000"/>
        </w:rPr>
        <w:pict>
          <v:rect style="width:0;height:1.5pt" o:hralign="center" o:hrstd="t" o:hr="t"/>
        </w:pict>
      </w:r>
    </w:p>
    <w:p>
      <w:pPr>
        <w:pStyle w:val="FirstParagraph"/>
      </w:pPr>
      <w:r>
        <w:rPr>
          <w:rFonts w:ascii="Times New Roman" w:hAnsi="Times New Roman" w:eastAsia="Times New Roman"/>
          <w:i/>
          <w:iCs/>
          <w:color w:val="000000"/>
        </w:rPr>
        <w:t xml:space="preserve">Председатель собрания: _______________ / ____________________ /</w:t>
      </w:r>
      <w:r>
        <w:rPr>
          <w:rFonts w:ascii="Times New Roman" w:hAnsi="Times New Roman" w:eastAsia="Times New Roman"/>
          <w:color w:val="000000"/>
        </w:rPr>
        <w:br/>
      </w:r>
      <w:r>
        <w:rPr>
          <w:rFonts w:ascii="Times New Roman" w:hAnsi="Times New Roman" w:eastAsia="Times New Roman"/>
          <w:i/>
          <w:iCs/>
          <w:color w:val="000000"/>
        </w:rPr>
        <w:t xml:space="preserve">Секретарь собрания: _______________ / ____________________ /</w:t>
      </w:r>
    </w:p>
    <w:bookmarkEnd w:id="31"/>
    <w:bookmarkEnd w:id="32"/>
    <w:sectPr>
      <w:pgSz w:h="16838" w:w="11906"/>
      <w:pgMar w:bottom="1134" w:left="1417" w:right="1020"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80" w:line="276" w:lineRule="auto"/>
      <w:ind w:firstLine="0"/>
    </w:pPr>
    <w:rPr>
      <w:rFonts w:ascii="Times New Roman" w:eastAsia="Times New Roman" w:hAnsi="Times New Roman"/>
      <w:sz w:val="24"/>
    </w:rPr>
  </w:style>
  <w:style w:styleId="BodyText" w:type="paragraph">
    <w:name w:val="Body Text"/>
    <w:basedOn w:val="Normal"/>
    <w:link w:val="BodyTextChar"/>
    <w:qFormat/>
    <w:pPr>
      <w:spacing w:after="180" w:before="180"/>
    </w:pPr>
    <w:rPr>
      <w:rFonts w:ascii="Times New Roman" w:eastAsia="Times New Roman" w:hAnsi="Times New Roman"/>
      <w:sz w:val="24"/>
    </w:rPr>
  </w:style>
  <w:style w:customStyle="1" w:styleId="FirstParagraph" w:type="paragraph">
    <w:name w:val="First Paragraph"/>
    <w:basedOn w:val="BodyText"/>
    <w:next w:val="BodyText"/>
    <w:qFormat/>
    <w:rPr>
      <w:rFonts w:ascii="Times New Roman" w:eastAsia="Times New Roman" w:hAnsi="Times New Roman"/>
      <w:sz w:val="24"/>
    </w:rPr>
  </w:style>
  <w:style w:customStyle="1" w:styleId="Compact" w:type="paragraph">
    <w:name w:val="Compact"/>
    <w:basedOn w:val="BodyText"/>
    <w:qFormat/>
    <w:pPr>
      <w:spacing w:after="36" w:before="36"/>
    </w:pPr>
    <w:rPr>
      <w:rFonts w:ascii="Times New Roman" w:eastAsia="Times New Roman" w:hAnsi="Times New Roman"/>
      <w:sz w:val="24"/>
    </w:rPr>
  </w:style>
  <w:style w:styleId="Title" w:type="paragraph">
    <w:name w:val="Title"/>
    <w:basedOn w:val="Normal"/>
    <w:next w:val="BodyText"/>
    <w:qFormat/>
    <w:pPr>
      <w:keepNext/>
      <w:keepLines/>
      <w:spacing w:after="240" w:before="480"/>
      <w:jc w:val="center"/>
    </w:pPr>
    <w:rPr>
      <w:rFonts w:ascii="Times New Roman" w:asciiTheme="majorHAnsi" w:cstheme="majorBidi" w:eastAsia="Times New Roman" w:eastAsiaTheme="majorEastAsia" w:hAnsi="Times New Roman" w:hAnsiTheme="majorHAnsi"/>
      <w:b/>
      <w:bCs/>
      <w:color w:themeColor="accent1" w:themeShade="B5" w:val="345A8A"/>
      <w:sz w:val="32"/>
      <w:szCs w:val="36"/>
    </w:rPr>
  </w:style>
  <w:style w:styleId="Subtitle" w:type="paragraph">
    <w:name w:val="Subtitle"/>
    <w:basedOn w:val="Title"/>
    <w:next w:val="BodyText"/>
    <w:qFormat/>
    <w:pPr>
      <w:keepNext/>
      <w:keepLines/>
      <w:spacing w:after="240" w:before="240"/>
      <w:jc w:val="center"/>
    </w:pPr>
    <w:rPr>
      <w:rFonts w:ascii="Times New Roman" w:eastAsia="Times New Roman" w:hAnsi="Times New Roman"/>
      <w:b/>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eastAsia="Times New Roman" w:hAnsi="Times New Roman"/>
      <w:sz w:val="24"/>
    </w:r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rPr>
      <w:rFonts w:ascii="Times New Roman" w:eastAsia="Times New Roman" w:hAnsi="Times New Roman"/>
      <w:sz w:val="21"/>
    </w:rPr>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rPr>
      <w:rFonts w:ascii="Times New Roman" w:eastAsia="Times New Roman" w:hAnsi="Times New Roman"/>
      <w:sz w:val="21"/>
    </w:r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2026-09-06T06:50:27Z</dcterms:created>
  <dcterms:modified xsi:type="dcterms:W3CDTF">2026-09-06T06:50:27Z</dcterms:modified>
</cp:coreProperties>
</file>

<file path=docProps/custom.xml><?xml version="1.0" encoding="utf-8"?>
<Properties xmlns="http://schemas.openxmlformats.org/officeDocument/2006/custom-properties" xmlns:vt="http://schemas.openxmlformats.org/officeDocument/2006/docPropsVTypes"/>
</file>