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положение-о-смете-доходов-и-расходов"/>
    <w:p>
      <w:pPr>
        <w:pStyle w:val="Heading1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Положение о смете доходов и расходов</w:t>
      </w:r>
    </w:p>
    <w:bookmarkStart w:id="20" w:name="наименование-снт"/>
    <w:p>
      <w:pPr>
        <w:pStyle w:val="Heading2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[Наименование СНТ]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УТВЕРЖДЕНО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Решением общего собрания членов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[Наименование СНТ]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color w:val="000000"/>
        </w:rPr>
        <w:t xml:space="preserve">Протокол № ___ от «_</w:t>
      </w:r>
      <w:r>
        <w:rPr>
          <w:rFonts w:ascii="Times New Roman" w:hAnsi="Times New Roman" w:eastAsia="Times New Roman"/>
          <w:b/>
          <w:bCs/>
          <w:color w:val="000000"/>
        </w:rPr>
        <w:t xml:space="preserve">» _________ 20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г.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Block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Примечание к образцу.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Актуализировано по состоянию на 06.09.2026. Конкретная структура сметы и порядок оперативного исполнения должны быть согласованы с Уставом СНТ и решениями общего собрания.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0"/>
    <w:bookmarkStart w:id="21" w:name="Xc4211d805ccb1d1758c2b033f718de644cb7c63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1. Общие положения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1.1. Настоящее Положение определяет порядок подготовки, утверждения, исполнения и контроля исполнения приходно-расходной сметы [Наименование СНТ] (далее — Товарищество) и разработано в соответствии с Федеральным законом № 217-ФЗ, Уставом Товарищества и иными нормативными правовыми актами Российской Федерации.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1.2. Приходно-расходная смета (далее — Смета) — финансовый план Товарищества на соответствующий период, определяющий планируемые поступления, расходы и источники их финансирования.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1.3. Размер членских и целевых взносов определяется на основании утверждённых общим собранием Сметы и финансово-экономического обоснования (ФЭО).</w:t>
      </w:r>
    </w:p>
    <w:bookmarkEnd w:id="21"/>
    <w:bookmarkStart w:id="22" w:name="X1c8c74f8d433379f81bc656b0b07846e962508d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2. Подготовка и утверждение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2.1. Проект Сметы и ФЭО разрабатывает правление Товарищества с привлечением бухгалтера (казначея) и иных специалистов при необходимости.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2.2. При подготовке учитываются фактическое исполнение предыдущей сметы, обязательства Товарищества, состояние имущества, плановые мероприятия, цены и тарифы, налоги, предложения членов и результаты ревизий.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2.3. Проект Сметы и ФЭО должен быть доступен для ознакомления членам Товарищества не менее чем за семь дней до даты общего собрания, если в повестку включён вопрос об утверждении Сметы.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2.4. Смета и ФЭО утверждаются общим собранием квалифицированным большинством не менее двух третей голосов от общего числа участвующих в собрании членов Товарищества в соответствии со статьёй 17 217-ФЗ.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2.5. Если к началу нового финансового периода новая Смета не утверждена, автоматическое продление предыдущей Сметы или правило «1/12» не применяется само по себе. До утверждения новой Сметы правление вправе исполнять только обязанности и совершать расходы, законное основание для которых следует из ранее принятых решений, действующих договоров, обязательных платежей и иных обязательств Товарищества. При необходимости временный порядок финансирования утверждается общим собранием.</w:t>
      </w:r>
    </w:p>
    <w:bookmarkEnd w:id="22"/>
    <w:bookmarkStart w:id="23" w:name="X98218feea11cdd5f8cccf19acba499d535cdecb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3. Доходная часть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3.1. Доходная часть может включать: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членские взносы;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целевые взносы;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плату лиц, ведущих садоводство без участия (членства) в Товариществе, предусмотренную статьёй 5 217-ФЗ;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доходы от разрешённой законом приносящей доход деятельности;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проценты по банковским вкладам;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субсидии, гранты, пожертвования и иные законные поступления;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пени за просрочку внесения взносов, если порядок и размер пеней предусмотрены Уставом;</w:t>
      </w:r>
    </w:p>
    <w:p>
      <w:pPr>
        <w:pStyle w:val="Compact"/>
        <w:numPr>
          <w:ilvl w:val="0"/>
          <w:numId w:val="1001"/>
        </w:numPr>
      </w:pPr>
      <w:r>
        <w:rPr>
          <w:rFonts w:ascii="Times New Roman" w:hAnsi="Times New Roman" w:eastAsia="Times New Roman"/>
          <w:color w:val="000000"/>
        </w:rPr>
        <w:t xml:space="preserve">иные законные доходы.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3.2. Целевые взносы и иные целевые поступления отражаются обособленно по каждому мероприятию.</w:t>
      </w:r>
    </w:p>
    <w:bookmarkEnd w:id="23"/>
    <w:bookmarkStart w:id="32" w:name="Xe1989e498a0a5e9f66cd7df373e19f8b238561b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4. Расходная часть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4.1. Расходы группируются по экономически понятным статьям и должны соответствовать целям, на которые законом допускается использование членских и целевых взносов.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Пример структуры:</w:t>
      </w:r>
    </w:p>
    <w:bookmarkStart w:id="24" w:name="X7b0f93f1999101145ce7241bffcb98374e83db1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4.1.1. Оплата труда и обязательные начисления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заработная плата работников по трудовым договорам;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выплаты председателю и членам органов Товарищества — в соответствии с условиями, определёнными общим собранием;</w:t>
      </w:r>
    </w:p>
    <w:p>
      <w:pPr>
        <w:pStyle w:val="Compact"/>
        <w:numPr>
          <w:ilvl w:val="0"/>
          <w:numId w:val="1002"/>
        </w:numPr>
      </w:pPr>
      <w:r>
        <w:rPr>
          <w:rFonts w:ascii="Times New Roman" w:hAnsi="Times New Roman" w:eastAsia="Times New Roman"/>
          <w:color w:val="000000"/>
        </w:rPr>
        <w:t xml:space="preserve">страховые взносы и иные обязательные начисления работодателя.</w:t>
      </w:r>
    </w:p>
    <w:p>
      <w:pPr>
        <w:pStyle w:val="BlockText"/>
      </w:pPr>
      <w:r>
        <w:rPr>
          <w:rFonts w:ascii="Times New Roman" w:hAnsi="Times New Roman" w:eastAsia="Times New Roman"/>
          <w:color w:val="000000"/>
        </w:rPr>
        <w:t xml:space="preserve">НДФЛ не является дополнительным расходом работодателя сверх начисленной работнику заработной платы: Товарищество исполняет обязанности налогового агента и удерживает налог из дохода работника в предусмотренных законом случаях.</w:t>
      </w:r>
    </w:p>
    <w:bookmarkEnd w:id="24"/>
    <w:bookmarkStart w:id="25" w:name="X6edc4b8f519cf8366db9f1e0ecfe5ef2388c0fc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4.1.2. Ресурсоснабжение и коммунальные расходы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[электроснабжение общего имущества, вода, газ, водоотведение и др.]</w:t>
      </w:r>
    </w:p>
    <w:bookmarkEnd w:id="25"/>
    <w:bookmarkStart w:id="26" w:name="X308e005a280d0005c9b066d5d3d41a973dd2bd2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4.1.3. Содержание и ремонт имущества общего пользования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[дороги, сети, ограждения, скважина, объекты благоустройства и др.]</w:t>
      </w:r>
    </w:p>
    <w:bookmarkEnd w:id="26"/>
    <w:bookmarkStart w:id="27" w:name="Xd70feffce44300c6a81301cdd9f713536e0d9e7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4.1.4. Обращение с ТКО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[расходы по договорам]</w:t>
      </w:r>
    </w:p>
    <w:bookmarkEnd w:id="27"/>
    <w:bookmarkStart w:id="28" w:name="Xb25033f18861868c43097197a53049d0d98e28a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4.1.5. Охрана и пожарная безопасность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[расходы]</w:t>
      </w:r>
    </w:p>
    <w:bookmarkEnd w:id="28"/>
    <w:bookmarkStart w:id="29" w:name="X03ffc3e4c93ce0b2a810be81b961bd27fcee3a4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4.1.6. Налоги, сборы и государственные пошлины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[расходы]</w:t>
      </w:r>
    </w:p>
    <w:bookmarkEnd w:id="29"/>
    <w:bookmarkStart w:id="30" w:name="X631d9f0d3887f620dabbdace699e5f50d76e6a0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4.1.7. Административные расходы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[банковское обслуживание, связь, почтовые расходы, информационные системы, бухгалтерские и юридические услуги и др.]</w:t>
      </w:r>
    </w:p>
    <w:bookmarkEnd w:id="30"/>
    <w:bookmarkStart w:id="31" w:name="X19a3291fabe966cf6384063db5a592d4f56dd7c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4.1.8. Резерв на непредвиденные расходы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Размер и допустимые направления использования резерва должны быть прямо указаны в утверждаемой Смете.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 По каждой статье указываются сумма, расчёт и источник финансирования.</w:t>
      </w:r>
    </w:p>
    <w:bookmarkEnd w:id="31"/>
    <w:bookmarkEnd w:id="32"/>
    <w:bookmarkStart w:id="33" w:name="Xde284057b3ea0edc85d7df49bf4046514f2a7ad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5. Баланс и остатки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5.1. Смета должна показывать планируемый остаток денежных средств на начало и конец периода.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5.2. Использование накопленных остатков прошлых периодов отражается отдельным источником финансирования с указанием их происхождения и допустимого назначения.</w:t>
      </w:r>
    </w:p>
    <w:bookmarkEnd w:id="33"/>
    <w:bookmarkStart w:id="34" w:name="Xd00ff1c3bc96cebc581f289923b700ef8a7ca0f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6. Исполнение Сметы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6.1. Исполнение Сметы организуют правление и председатель в пределах их полномочий.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6.2. Все расходы подтверждаются надлежащими первичными учётными документами.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6.3. Целевые взносы расходуются исключительно на цели, определённые решением общего собрания.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6.4. Правление не вправе самостоятельно увеличивать общий объём утверждённых расходов, менять назначение целевых взносов или изменять размер взносов.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6.5. Перераспределение внутри утверждённых статей допускается только тогда и в тех пределах, которые прямо предусмотрены самой Сметой или отдельным решением общего собрания. Если такого разрешения нет, изменение Сметы утверждается общим собранием.</w:t>
      </w:r>
    </w:p>
    <w:bookmarkEnd w:id="34"/>
    <w:bookmarkStart w:id="35" w:name="X5e3bc4f70c2ff83b425b67ab4231ae32853c092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7. Контроль исполнения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7.1. Текущий контроль осуществляет правление. Последующий контроль финансово-хозяйственной деятельности осуществляет ревизионная комиссия (ревизор).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7.2. Бухгалтер (казначей) формирует отчёт об исполнении Сметы с план-фактным сравнением по статьям и пояснениями существенных отклонений.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7.3. Периодичность промежуточной отчётности: [ежемесячно / ежеквартально].</w:t>
      </w:r>
    </w:p>
    <w:bookmarkEnd w:id="35"/>
    <w:bookmarkStart w:id="36" w:name="Xb93c1c2b90c11dde6d4d7600e7bea06bb868530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8. Годовой отчёт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8.1. Отчёт об исполнении Сметы представляется общему собранию для принятия решения о её исполнении.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8.2. Отчёт включает: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плановые и фактические поступления;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плановые и фактические расходы;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сведения об использовании целевых средств;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остатки денежных средств;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дебиторскую и кредиторскую задолженность;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пояснения существенных отклонений;</w:t>
      </w:r>
    </w:p>
    <w:p>
      <w:pPr>
        <w:pStyle w:val="Compact"/>
        <w:numPr>
          <w:ilvl w:val="0"/>
          <w:numId w:val="1003"/>
        </w:numPr>
      </w:pPr>
      <w:r>
        <w:rPr>
          <w:rFonts w:ascii="Times New Roman" w:hAnsi="Times New Roman" w:eastAsia="Times New Roman"/>
          <w:color w:val="000000"/>
        </w:rPr>
        <w:t xml:space="preserve">результаты проверки ревизионной комиссии (ревизора), если проверка проведена.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8.3. Утверждение отчёта об исполнении Сметы не освобождает должностных лиц от ответственности за нарушения закона, Устава или решений общего собрания.</w:t>
      </w:r>
    </w:p>
    <w:bookmarkEnd w:id="36"/>
    <w:bookmarkStart w:id="37" w:name="Xb338f704392ef6f27010e1d3dfd0615eb5204a2"/>
    <w:p>
      <w:pPr>
        <w:pStyle w:val="Heading2"/>
      </w:pPr>
      <w:r>
        <w:rPr>
          <w:rFonts w:ascii="Times New Roman" w:hAnsi="Times New Roman" w:eastAsia="Times New Roman"/>
          <w:color w:val="000000"/>
        </w:rPr>
        <w:t xml:space="preserve">9. Заключительные положения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9.1. Положение вступает в силу с даты утверждения общим собранием.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9.2. Изменения в Положение вносятся общим собранием в порядке, установленном законом и Уставом.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i/>
          <w:iCs/>
          <w:color w:val="000000"/>
        </w:rPr>
        <w:t xml:space="preserve">Председатель собрания: _______________ / ____________________ /</w:t>
      </w:r>
      <w:r>
        <w:rPr>
          <w:rFonts w:ascii="Times New Roman" w:hAnsi="Times New Roman" w:eastAsia="Times New Roman"/>
          <w:color w:val="000000"/>
        </w:rPr>
        <w:br/>
      </w:r>
      <w:r>
        <w:rPr>
          <w:rFonts w:ascii="Times New Roman" w:hAnsi="Times New Roman" w:eastAsia="Times New Roman"/>
          <w:i/>
          <w:iCs/>
          <w:color w:val="000000"/>
        </w:rPr>
        <w:t xml:space="preserve">Секретарь собрания: _______________ / ____________________ /</w:t>
      </w:r>
    </w:p>
    <w:bookmarkEnd w:id="37"/>
    <w:bookmarkEnd w:id="38"/>
    <w:sectPr>
      <w:pgSz w:h="16838" w:w="11906"/>
      <w:pgMar w:bottom="1134" w:left="1417" w:right="1020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76" w:lineRule="auto"/>
      <w:ind w:firstLine="0"/>
    </w:pPr>
    <w:rPr>
      <w:rFonts w:ascii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asciiTheme="majorHAnsi" w:cstheme="majorBidi" w:eastAsia="Times New Roman" w:eastAsiaTheme="majorEastAsia" w:hAnsi="Times New Roman" w:hAnsiTheme="majorHAnsi"/>
      <w:b/>
      <w:bCs/>
      <w:color w:themeColor="accent1" w:themeShade="B5" w:val="345A8A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eastAsia="Times New Roman" w:hAnsi="Times New Roman"/>
      <w:b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rPr>
      <w:rFonts w:ascii="Times New Roman" w:eastAsia="Times New Roman" w:hAnsi="Times New Roman"/>
      <w:sz w:val="21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eastAsia="Times New Roman" w:hAnsi="Times New Roman"/>
      <w:sz w:val="21"/>
    </w:r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2026-09-06T06:50:26Z</dcterms:created>
  <dcterms:modified xsi:type="dcterms:W3CDTF">2026-09-06T06:50:26Z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