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политика"/>
    <w:p>
      <w:pPr>
        <w:pStyle w:val="Heading1"/>
        <w:spacing w:after="60"/>
        <w:jc w:val="center"/>
      </w:pPr>
      <w:r>
        <w:rPr>
          <w:rFonts w:ascii="Times New Roman" w:hAnsi="Times New Roman" w:eastAsia="Times New Roman"/>
          <w:color w:val="000000"/>
        </w:rPr>
        <w:t xml:space="preserve">ПОЛИТИКА</w:t>
      </w:r>
    </w:p>
    <w:bookmarkStart w:id="22" w:name="обработки-персональных-данных"/>
    <w:p>
      <w:pPr>
        <w:pStyle w:val="Heading2"/>
        <w:spacing w:after="60"/>
        <w:jc w:val="center"/>
      </w:pPr>
      <w:r>
        <w:rPr>
          <w:rFonts w:ascii="Times New Roman" w:hAnsi="Times New Roman" w:eastAsia="Times New Roman"/>
          <w:color w:val="000000"/>
        </w:rPr>
        <w:t xml:space="preserve">обработки персональных данных</w:t>
      </w:r>
    </w:p>
    <w:bookmarkStart w:id="20" w:name="Xf58828a048e84552d6cc94edf3130cba96d3c70"/>
    <w:p>
      <w:pPr>
        <w:pStyle w:val="Heading3"/>
        <w:spacing w:after="60"/>
        <w:jc w:val="center"/>
      </w:pPr>
      <w:r>
        <w:rPr>
          <w:rFonts w:ascii="Times New Roman" w:hAnsi="Times New Roman" w:eastAsia="Times New Roman"/>
          <w:color w:val="000000"/>
        </w:rPr>
        <w:t xml:space="preserve">Садоводческого некоммерческого товарищества</w:t>
      </w:r>
    </w:p>
    <w:bookmarkEnd w:id="20"/>
    <w:bookmarkStart w:id="21" w:name="наименование-снт"/>
    <w:p>
      <w:pPr>
        <w:pStyle w:val="Heading3"/>
        <w:spacing w:after="60"/>
        <w:jc w:val="center"/>
      </w:pPr>
      <w:r>
        <w:rPr>
          <w:rFonts w:ascii="Times New Roman" w:hAnsi="Times New Roman" w:eastAsia="Times New Roman"/>
          <w:color w:val="000000"/>
        </w:rPr>
        <w:t xml:space="preserve">«[Наименование СНТ]»</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b/>
          <w:bCs/>
          <w:color w:val="000000"/>
        </w:rPr>
        <w:t xml:space="preserve">УТВЕРЖДЕНА</w:t>
      </w:r>
      <w:r>
        <w:rPr>
          <w:rFonts w:ascii="Times New Roman" w:hAnsi="Times New Roman" w:eastAsia="Times New Roman"/>
          <w:color w:val="000000"/>
        </w:rPr>
        <w:br/>
      </w:r>
      <w:r>
        <w:rPr>
          <w:rFonts w:ascii="Times New Roman" w:hAnsi="Times New Roman" w:eastAsia="Times New Roman"/>
          <w:color w:val="000000"/>
        </w:rPr>
        <w:t xml:space="preserve">Приказом председателя</w:t>
      </w:r>
      <w:r>
        <w:rPr>
          <w:rFonts w:ascii="Times New Roman" w:hAnsi="Times New Roman" w:eastAsia="Times New Roman"/>
          <w:color w:val="000000"/>
        </w:rPr>
        <w:br/>
      </w:r>
      <w:r>
        <w:rPr>
          <w:rFonts w:ascii="Times New Roman" w:hAnsi="Times New Roman" w:eastAsia="Times New Roman"/>
          <w:color w:val="000000"/>
        </w:rPr>
        <w:t xml:space="preserve">[Наименование СНТ]</w:t>
      </w:r>
      <w:r>
        <w:rPr>
          <w:rFonts w:ascii="Times New Roman" w:hAnsi="Times New Roman" w:eastAsia="Times New Roman"/>
          <w:color w:val="000000"/>
        </w:rPr>
        <w:br/>
      </w:r>
      <w:r>
        <w:rPr>
          <w:rFonts w:ascii="Times New Roman" w:hAnsi="Times New Roman" w:eastAsia="Times New Roman"/>
          <w:color w:val="000000"/>
        </w:rPr>
        <w:t xml:space="preserve">№ [Номер приказа] от [Дата]</w:t>
      </w:r>
    </w:p>
    <w:p>
      <w:r>
        <w:rPr>
          <w:rFonts w:ascii="Times New Roman" w:hAnsi="Times New Roman" w:eastAsia="Times New Roman"/>
          <w:color w:val="000000"/>
        </w:rPr>
        <w:pict>
          <v:rect style="width:0;height:1.5pt" o:hralign="center" o:hrstd="t" o:hr="t"/>
        </w:pict>
      </w:r>
    </w:p>
    <w:p>
      <w:pPr>
        <w:pStyle w:val="BlockText"/>
      </w:pPr>
      <w:r>
        <w:rPr>
          <w:rFonts w:ascii="Times New Roman" w:hAnsi="Times New Roman" w:eastAsia="Times New Roman"/>
          <w:b/>
          <w:bCs/>
          <w:color w:val="000000"/>
        </w:rPr>
        <w:t xml:space="preserve">Примечание к образцу.</w:t>
      </w:r>
      <w:r>
        <w:rPr>
          <w:rFonts w:ascii="Times New Roman" w:hAnsi="Times New Roman" w:eastAsia="Times New Roman"/>
          <w:color w:val="000000"/>
        </w:rPr>
        <w:t xml:space="preserve"> </w:t>
      </w:r>
      <w:r>
        <w:rPr>
          <w:rFonts w:ascii="Times New Roman" w:hAnsi="Times New Roman" w:eastAsia="Times New Roman"/>
          <w:color w:val="000000"/>
        </w:rPr>
        <w:t xml:space="preserve">Актуализировано по состоянию на 06.09.2026. Политика должна быть дополнена фактическими сведениями о применяемых информационных системах, подрядчиках, местах хранения баз данных и реальных процессах конкретного СНТ. Профессиональная юридическая и информационно-безопасностная экспертиза не проводилась.</w:t>
      </w:r>
    </w:p>
    <w:p>
      <w:r>
        <w:rPr>
          <w:rFonts w:ascii="Times New Roman" w:hAnsi="Times New Roman" w:eastAsia="Times New Roman"/>
          <w:color w:val="000000"/>
        </w:rPr>
        <w:pict>
          <v:rect style="width:0;height:1.5pt" o:hralign="center" o:hrstd="t" o:hr="t"/>
        </w:pict>
      </w:r>
    </w:p>
    <w:bookmarkEnd w:id="21"/>
    <w:bookmarkEnd w:id="22"/>
    <w:bookmarkStart w:id="23" w:name="Xc4211d805ccb1d1758c2b033f718de644cb7c63"/>
    <w:p>
      <w:pPr>
        <w:pStyle w:val="Heading2"/>
      </w:pPr>
      <w:r>
        <w:rPr>
          <w:rFonts w:ascii="Times New Roman" w:hAnsi="Times New Roman" w:eastAsia="Times New Roman"/>
          <w:color w:val="000000"/>
        </w:rPr>
        <w:t xml:space="preserve">1. Общие положения</w:t>
      </w:r>
    </w:p>
    <w:p>
      <w:pPr>
        <w:pStyle w:val="FirstParagraph"/>
      </w:pPr>
      <w:r>
        <w:rPr>
          <w:rFonts w:ascii="Times New Roman" w:hAnsi="Times New Roman" w:eastAsia="Times New Roman"/>
          <w:color w:val="000000"/>
        </w:rPr>
        <w:t xml:space="preserve">1.1. Настоящая Политика разработана в соответствии с Федеральным законом от 27.07.2006 № 152-ФЗ «О персональных данных» (далее — 152-ФЗ), Федеральным законом № 217-ФЗ, Трудовым кодексом Российской Федерации, законодательством о бухгалтерском и налоговом учёте и иными применимыми нормативными актами.</w:t>
      </w:r>
    </w:p>
    <w:p>
      <w:pPr>
        <w:pStyle w:val="BodyText"/>
      </w:pPr>
      <w:r>
        <w:rPr>
          <w:rFonts w:ascii="Times New Roman" w:hAnsi="Times New Roman" w:eastAsia="Times New Roman"/>
          <w:color w:val="000000"/>
        </w:rPr>
        <w:t xml:space="preserve">1.2. Садоводческое некоммерческое товарищество «[Наименование СНТ]» (ОГРН [</w:t>
      </w:r>
      <w:r>
        <w:rPr>
          <w:rFonts w:ascii="Times New Roman" w:hAnsi="Times New Roman" w:eastAsia="Times New Roman"/>
          <w:b/>
          <w:bCs/>
          <w:i/>
          <w:iCs/>
          <w:color w:val="000000"/>
        </w:rPr>
        <w:t xml:space="preserve">], ИНН [</w:t>
      </w:r>
      <w:r>
        <w:rPr>
          <w:rFonts w:ascii="Times New Roman" w:hAnsi="Times New Roman" w:eastAsia="Times New Roman"/>
          <w:color w:val="000000"/>
        </w:rPr>
        <w:t xml:space="preserve">], адрес: [___]) является оператором персональных данных (далее — Оператор).</w:t>
      </w:r>
    </w:p>
    <w:p>
      <w:pPr>
        <w:pStyle w:val="BodyText"/>
      </w:pPr>
      <w:r>
        <w:rPr>
          <w:rFonts w:ascii="Times New Roman" w:hAnsi="Times New Roman" w:eastAsia="Times New Roman"/>
          <w:color w:val="000000"/>
        </w:rPr>
        <w:t xml:space="preserve">1.3. Политика является общедоступным документом и размещается на сайте Оператора (при наличии) и/или иным способом, обеспечивающим неограниченный доступ.</w:t>
      </w:r>
    </w:p>
    <w:p>
      <w:pPr>
        <w:pStyle w:val="BodyText"/>
      </w:pPr>
      <w:r>
        <w:rPr>
          <w:rFonts w:ascii="Times New Roman" w:hAnsi="Times New Roman" w:eastAsia="Times New Roman"/>
          <w:color w:val="000000"/>
        </w:rPr>
        <w:t xml:space="preserve">1.4. Оператор обрабатывает только те персональные данные, которые необходимы и достаточны для заранее определённых законных целей. Содержание и объём данных не должны быть избыточными по отношению к заявленным целям обработки.</w:t>
      </w:r>
    </w:p>
    <w:bookmarkEnd w:id="23"/>
    <w:bookmarkStart w:id="24" w:name="X4e51c9a7581cb48f10377de864897414a79c6e8"/>
    <w:p>
      <w:pPr>
        <w:pStyle w:val="Heading2"/>
      </w:pPr>
      <w:r>
        <w:rPr>
          <w:rFonts w:ascii="Times New Roman" w:hAnsi="Times New Roman" w:eastAsia="Times New Roman"/>
          <w:color w:val="000000"/>
        </w:rPr>
        <w:t xml:space="preserve">2. Категории субъектов и данных</w:t>
      </w:r>
    </w:p>
    <w:p>
      <w:pPr>
        <w:pStyle w:val="FirstParagraph"/>
      </w:pPr>
      <w:r>
        <w:rPr>
          <w:rFonts w:ascii="Times New Roman" w:hAnsi="Times New Roman" w:eastAsia="Times New Roman"/>
          <w:color w:val="000000"/>
        </w:rPr>
        <w:t xml:space="preserve">2.1. Оператор может обрабатывать персональные данные:</w:t>
      </w:r>
    </w:p>
    <w:p>
      <w:pPr>
        <w:pStyle w:val="Compact"/>
        <w:numPr>
          <w:ilvl w:val="0"/>
          <w:numId w:val="1001"/>
        </w:numPr>
      </w:pPr>
      <w:r>
        <w:rPr>
          <w:rFonts w:ascii="Times New Roman" w:hAnsi="Times New Roman" w:eastAsia="Times New Roman"/>
          <w:color w:val="000000"/>
        </w:rPr>
        <w:t xml:space="preserve">членов Товарищества;</w:t>
      </w:r>
    </w:p>
    <w:p>
      <w:pPr>
        <w:pStyle w:val="Compact"/>
        <w:numPr>
          <w:ilvl w:val="0"/>
          <w:numId w:val="1001"/>
        </w:numPr>
      </w:pPr>
      <w:r>
        <w:rPr>
          <w:rFonts w:ascii="Times New Roman" w:hAnsi="Times New Roman" w:eastAsia="Times New Roman"/>
          <w:color w:val="000000"/>
        </w:rPr>
        <w:t xml:space="preserve">лиц, ведущих садоводство без участия (членства) в Товариществе;</w:t>
      </w:r>
    </w:p>
    <w:p>
      <w:pPr>
        <w:pStyle w:val="Compact"/>
        <w:numPr>
          <w:ilvl w:val="0"/>
          <w:numId w:val="1001"/>
        </w:numPr>
      </w:pPr>
      <w:r>
        <w:rPr>
          <w:rFonts w:ascii="Times New Roman" w:hAnsi="Times New Roman" w:eastAsia="Times New Roman"/>
          <w:color w:val="000000"/>
        </w:rPr>
        <w:t xml:space="preserve">бывших членов и бывших правообладателей — в пределах необходимых сроков хранения и расчётов;</w:t>
      </w:r>
    </w:p>
    <w:p>
      <w:pPr>
        <w:pStyle w:val="Compact"/>
        <w:numPr>
          <w:ilvl w:val="0"/>
          <w:numId w:val="1001"/>
        </w:numPr>
      </w:pPr>
      <w:r>
        <w:rPr>
          <w:rFonts w:ascii="Times New Roman" w:hAnsi="Times New Roman" w:eastAsia="Times New Roman"/>
          <w:color w:val="000000"/>
        </w:rPr>
        <w:t xml:space="preserve">работников и бывших работников;</w:t>
      </w:r>
    </w:p>
    <w:p>
      <w:pPr>
        <w:pStyle w:val="Compact"/>
        <w:numPr>
          <w:ilvl w:val="0"/>
          <w:numId w:val="1001"/>
        </w:numPr>
      </w:pPr>
      <w:r>
        <w:rPr>
          <w:rFonts w:ascii="Times New Roman" w:hAnsi="Times New Roman" w:eastAsia="Times New Roman"/>
          <w:color w:val="000000"/>
        </w:rPr>
        <w:t xml:space="preserve">кандидатов на работу;</w:t>
      </w:r>
    </w:p>
    <w:p>
      <w:pPr>
        <w:pStyle w:val="Compact"/>
        <w:numPr>
          <w:ilvl w:val="0"/>
          <w:numId w:val="1001"/>
        </w:numPr>
      </w:pPr>
      <w:r>
        <w:rPr>
          <w:rFonts w:ascii="Times New Roman" w:hAnsi="Times New Roman" w:eastAsia="Times New Roman"/>
          <w:color w:val="000000"/>
        </w:rPr>
        <w:t xml:space="preserve">физических лиц — контрагентов, представителей контрагентов;</w:t>
      </w:r>
    </w:p>
    <w:p>
      <w:pPr>
        <w:pStyle w:val="Compact"/>
        <w:numPr>
          <w:ilvl w:val="0"/>
          <w:numId w:val="1001"/>
        </w:numPr>
      </w:pPr>
      <w:r>
        <w:rPr>
          <w:rFonts w:ascii="Times New Roman" w:hAnsi="Times New Roman" w:eastAsia="Times New Roman"/>
          <w:color w:val="000000"/>
        </w:rPr>
        <w:t xml:space="preserve">посетителей территории — только если данные фактически обрабатываются, например в рамках законно организованного пропускного режима или видеонаблюдения.</w:t>
      </w:r>
    </w:p>
    <w:p>
      <w:pPr>
        <w:pStyle w:val="FirstParagraph"/>
      </w:pPr>
      <w:r>
        <w:rPr>
          <w:rFonts w:ascii="Times New Roman" w:hAnsi="Times New Roman" w:eastAsia="Times New Roman"/>
          <w:color w:val="000000"/>
        </w:rPr>
        <w:t xml:space="preserve">2.2. Для ведения реестра членов и выполнения обязанностей по 217-ФЗ обрабатываются сведения в объёме, прямо предусмотренном законом: ФИО, адрес места жительства, почтовый адрес, электронная почта (при наличии), телефон, сведения о земельном участке и иные предусмотренные законом сведения.</w:t>
      </w:r>
    </w:p>
    <w:p>
      <w:pPr>
        <w:pStyle w:val="BodyText"/>
      </w:pPr>
      <w:r>
        <w:rPr>
          <w:rFonts w:ascii="Times New Roman" w:hAnsi="Times New Roman" w:eastAsia="Times New Roman"/>
          <w:color w:val="000000"/>
        </w:rPr>
        <w:t xml:space="preserve">2.3. Паспортные данные, ИНН, СНИЛС, дата и место рождения и иные дополнительные сведения не включаются автоматически в обязательный набор данных члена СНТ. Они обрабатываются только при наличии отдельной законной цели и правового основания.</w:t>
      </w:r>
    </w:p>
    <w:p>
      <w:pPr>
        <w:pStyle w:val="BodyText"/>
      </w:pPr>
      <w:r>
        <w:rPr>
          <w:rFonts w:ascii="Times New Roman" w:hAnsi="Times New Roman" w:eastAsia="Times New Roman"/>
          <w:color w:val="000000"/>
        </w:rPr>
        <w:t xml:space="preserve">2.4. В отношении работников обрабатываются данные, необходимые для заключения и исполнения трудового договора, кадрового, налогового и бухгалтерского учёта, обязательного социального страхования и выполнения иных обязанностей работодателя.</w:t>
      </w:r>
    </w:p>
    <w:p>
      <w:pPr>
        <w:pStyle w:val="BodyText"/>
      </w:pPr>
      <w:r>
        <w:rPr>
          <w:rFonts w:ascii="Times New Roman" w:hAnsi="Times New Roman" w:eastAsia="Times New Roman"/>
          <w:color w:val="000000"/>
        </w:rPr>
        <w:t xml:space="preserve">2.5. Специальные категории персональных данных и биометрические персональные данные Оператор не обрабатывает, кроме случаев, когда такая обработка прямо допускается законом и действительно необходима для конкретной цели. Обычная видеозапись не признаётся биометрической только по факту наличия изображения; биометрический режим возникает при использовании данных для установления личности с применением соответствующей обработки.</w:t>
      </w:r>
    </w:p>
    <w:bookmarkEnd w:id="24"/>
    <w:bookmarkStart w:id="25" w:name="X885d49d5181d6492850c244936a5bb539f5b5e7"/>
    <w:p>
      <w:pPr>
        <w:pStyle w:val="Heading2"/>
      </w:pPr>
      <w:r>
        <w:rPr>
          <w:rFonts w:ascii="Times New Roman" w:hAnsi="Times New Roman" w:eastAsia="Times New Roman"/>
          <w:color w:val="000000"/>
        </w:rPr>
        <w:t xml:space="preserve">3. Цели обработки</w:t>
      </w:r>
    </w:p>
    <w:p>
      <w:pPr>
        <w:pStyle w:val="FirstParagraph"/>
      </w:pPr>
      <w:r>
        <w:rPr>
          <w:rFonts w:ascii="Times New Roman" w:hAnsi="Times New Roman" w:eastAsia="Times New Roman"/>
          <w:color w:val="000000"/>
        </w:rPr>
        <w:t xml:space="preserve">3.1. Основные цели:</w:t>
      </w:r>
    </w:p>
    <w:p>
      <w:pPr>
        <w:pStyle w:val="Compact"/>
        <w:numPr>
          <w:ilvl w:val="0"/>
          <w:numId w:val="1002"/>
        </w:numPr>
      </w:pPr>
      <w:r>
        <w:rPr>
          <w:rFonts w:ascii="Times New Roman" w:hAnsi="Times New Roman" w:eastAsia="Times New Roman"/>
          <w:color w:val="000000"/>
        </w:rPr>
        <w:t xml:space="preserve">ведение реестра членов Товарищества;</w:t>
      </w:r>
    </w:p>
    <w:p>
      <w:pPr>
        <w:pStyle w:val="Compact"/>
        <w:numPr>
          <w:ilvl w:val="0"/>
          <w:numId w:val="1002"/>
        </w:numPr>
      </w:pPr>
      <w:r>
        <w:rPr>
          <w:rFonts w:ascii="Times New Roman" w:hAnsi="Times New Roman" w:eastAsia="Times New Roman"/>
          <w:color w:val="000000"/>
        </w:rPr>
        <w:t xml:space="preserve">организация и проведение общих собраний и голосований;</w:t>
      </w:r>
    </w:p>
    <w:p>
      <w:pPr>
        <w:pStyle w:val="Compact"/>
        <w:numPr>
          <w:ilvl w:val="0"/>
          <w:numId w:val="1002"/>
        </w:numPr>
      </w:pPr>
      <w:r>
        <w:rPr>
          <w:rFonts w:ascii="Times New Roman" w:hAnsi="Times New Roman" w:eastAsia="Times New Roman"/>
          <w:color w:val="000000"/>
        </w:rPr>
        <w:t xml:space="preserve">начисление и учёт взносов и платы, ведение расчётов, взыскание задолженности;</w:t>
      </w:r>
    </w:p>
    <w:p>
      <w:pPr>
        <w:pStyle w:val="Compact"/>
        <w:numPr>
          <w:ilvl w:val="0"/>
          <w:numId w:val="1002"/>
        </w:numPr>
      </w:pPr>
      <w:r>
        <w:rPr>
          <w:rFonts w:ascii="Times New Roman" w:hAnsi="Times New Roman" w:eastAsia="Times New Roman"/>
          <w:color w:val="000000"/>
        </w:rPr>
        <w:t xml:space="preserve">бухгалтерский, налоговый и кадровый учёт;</w:t>
      </w:r>
    </w:p>
    <w:p>
      <w:pPr>
        <w:pStyle w:val="Compact"/>
        <w:numPr>
          <w:ilvl w:val="0"/>
          <w:numId w:val="1002"/>
        </w:numPr>
      </w:pPr>
      <w:r>
        <w:rPr>
          <w:rFonts w:ascii="Times New Roman" w:hAnsi="Times New Roman" w:eastAsia="Times New Roman"/>
          <w:color w:val="000000"/>
        </w:rPr>
        <w:t xml:space="preserve">исполнение договоров;</w:t>
      </w:r>
    </w:p>
    <w:p>
      <w:pPr>
        <w:pStyle w:val="Compact"/>
        <w:numPr>
          <w:ilvl w:val="0"/>
          <w:numId w:val="1002"/>
        </w:numPr>
      </w:pPr>
      <w:r>
        <w:rPr>
          <w:rFonts w:ascii="Times New Roman" w:hAnsi="Times New Roman" w:eastAsia="Times New Roman"/>
          <w:color w:val="000000"/>
        </w:rPr>
        <w:t xml:space="preserve">ведение делопроизводства и рассмотрение обращений;</w:t>
      </w:r>
    </w:p>
    <w:p>
      <w:pPr>
        <w:pStyle w:val="Compact"/>
        <w:numPr>
          <w:ilvl w:val="0"/>
          <w:numId w:val="1002"/>
        </w:numPr>
      </w:pPr>
      <w:r>
        <w:rPr>
          <w:rFonts w:ascii="Times New Roman" w:hAnsi="Times New Roman" w:eastAsia="Times New Roman"/>
          <w:color w:val="000000"/>
        </w:rPr>
        <w:t xml:space="preserve">управление и содержание имущества общего пользования;</w:t>
      </w:r>
    </w:p>
    <w:p>
      <w:pPr>
        <w:pStyle w:val="Compact"/>
        <w:numPr>
          <w:ilvl w:val="0"/>
          <w:numId w:val="1002"/>
        </w:numPr>
      </w:pPr>
      <w:r>
        <w:rPr>
          <w:rFonts w:ascii="Times New Roman" w:hAnsi="Times New Roman" w:eastAsia="Times New Roman"/>
          <w:color w:val="000000"/>
        </w:rPr>
        <w:t xml:space="preserve">обеспечение законно организованного пропускного режима и безопасности территории, если соответствующие системы фактически используются;</w:t>
      </w:r>
    </w:p>
    <w:p>
      <w:pPr>
        <w:pStyle w:val="Compact"/>
        <w:numPr>
          <w:ilvl w:val="0"/>
          <w:numId w:val="1002"/>
        </w:numPr>
      </w:pPr>
      <w:r>
        <w:rPr>
          <w:rFonts w:ascii="Times New Roman" w:hAnsi="Times New Roman" w:eastAsia="Times New Roman"/>
          <w:color w:val="000000"/>
        </w:rPr>
        <w:t xml:space="preserve">взаимодействие с государственными органами и судами;</w:t>
      </w:r>
    </w:p>
    <w:p>
      <w:pPr>
        <w:pStyle w:val="Compact"/>
        <w:numPr>
          <w:ilvl w:val="0"/>
          <w:numId w:val="1002"/>
        </w:numPr>
      </w:pPr>
      <w:r>
        <w:rPr>
          <w:rFonts w:ascii="Times New Roman" w:hAnsi="Times New Roman" w:eastAsia="Times New Roman"/>
          <w:color w:val="000000"/>
        </w:rPr>
        <w:t xml:space="preserve">защита прав и законных интересов Товарищества и субъектов персональных данных.</w:t>
      </w:r>
    </w:p>
    <w:p>
      <w:pPr>
        <w:pStyle w:val="FirstParagraph"/>
      </w:pPr>
      <w:r>
        <w:rPr>
          <w:rFonts w:ascii="Times New Roman" w:hAnsi="Times New Roman" w:eastAsia="Times New Roman"/>
          <w:color w:val="000000"/>
        </w:rPr>
        <w:t xml:space="preserve">3.2. Обработка для целей, несовместимых с первоначально заявленными, не допускается без самостоятельного правового основания.</w:t>
      </w:r>
    </w:p>
    <w:bookmarkEnd w:id="25"/>
    <w:bookmarkStart w:id="26" w:name="X9d20a9dcc8b67a66ed249924cf47bd2b0674a25"/>
    <w:p>
      <w:pPr>
        <w:pStyle w:val="Heading2"/>
      </w:pPr>
      <w:r>
        <w:rPr>
          <w:rFonts w:ascii="Times New Roman" w:hAnsi="Times New Roman" w:eastAsia="Times New Roman"/>
          <w:color w:val="000000"/>
        </w:rPr>
        <w:t xml:space="preserve">4. Правовые основания обработки</w:t>
      </w:r>
    </w:p>
    <w:p>
      <w:pPr>
        <w:pStyle w:val="FirstParagraph"/>
      </w:pPr>
      <w:r>
        <w:rPr>
          <w:rFonts w:ascii="Times New Roman" w:hAnsi="Times New Roman" w:eastAsia="Times New Roman"/>
          <w:color w:val="000000"/>
        </w:rPr>
        <w:t xml:space="preserve">4.1. Оператор обрабатывает персональные данные на основании:</w:t>
      </w:r>
    </w:p>
    <w:p>
      <w:pPr>
        <w:pStyle w:val="Compact"/>
        <w:numPr>
          <w:ilvl w:val="0"/>
          <w:numId w:val="1003"/>
        </w:numPr>
      </w:pPr>
      <w:r>
        <w:rPr>
          <w:rFonts w:ascii="Times New Roman" w:hAnsi="Times New Roman" w:eastAsia="Times New Roman"/>
          <w:color w:val="000000"/>
        </w:rPr>
        <w:t xml:space="preserve">федеральных законов и иных нормативных правовых актов, возлагающих на Оператора обязанности;</w:t>
      </w:r>
    </w:p>
    <w:p>
      <w:pPr>
        <w:pStyle w:val="Compact"/>
        <w:numPr>
          <w:ilvl w:val="0"/>
          <w:numId w:val="1003"/>
        </w:numPr>
      </w:pPr>
      <w:r>
        <w:rPr>
          <w:rFonts w:ascii="Times New Roman" w:hAnsi="Times New Roman" w:eastAsia="Times New Roman"/>
          <w:color w:val="000000"/>
        </w:rPr>
        <w:t xml:space="preserve">Устава и принятых в соответствии с законом решений органов Товарищества в пределах их компетенции;</w:t>
      </w:r>
    </w:p>
    <w:p>
      <w:pPr>
        <w:pStyle w:val="Compact"/>
        <w:numPr>
          <w:ilvl w:val="0"/>
          <w:numId w:val="1003"/>
        </w:numPr>
      </w:pPr>
      <w:r>
        <w:rPr>
          <w:rFonts w:ascii="Times New Roman" w:hAnsi="Times New Roman" w:eastAsia="Times New Roman"/>
          <w:color w:val="000000"/>
        </w:rPr>
        <w:t xml:space="preserve">договора, стороной, выгодоприобретателем или поручителем по которому является субъект персональных данных, либо для заключения договора по инициативе субъекта;</w:t>
      </w:r>
    </w:p>
    <w:p>
      <w:pPr>
        <w:pStyle w:val="Compact"/>
        <w:numPr>
          <w:ilvl w:val="0"/>
          <w:numId w:val="1003"/>
        </w:numPr>
      </w:pPr>
      <w:r>
        <w:rPr>
          <w:rFonts w:ascii="Times New Roman" w:hAnsi="Times New Roman" w:eastAsia="Times New Roman"/>
          <w:color w:val="000000"/>
        </w:rPr>
        <w:t xml:space="preserve">трудовых отношений;</w:t>
      </w:r>
    </w:p>
    <w:p>
      <w:pPr>
        <w:pStyle w:val="Compact"/>
        <w:numPr>
          <w:ilvl w:val="0"/>
          <w:numId w:val="1003"/>
        </w:numPr>
      </w:pPr>
      <w:r>
        <w:rPr>
          <w:rFonts w:ascii="Times New Roman" w:hAnsi="Times New Roman" w:eastAsia="Times New Roman"/>
          <w:color w:val="000000"/>
        </w:rPr>
        <w:t xml:space="preserve">согласия субъекта персональных данных — в тех случаях, когда обработка не может осуществляться на ином предусмотренном законом основании либо когда закон прямо требует согласия.</w:t>
      </w:r>
    </w:p>
    <w:p>
      <w:pPr>
        <w:pStyle w:val="FirstParagraph"/>
      </w:pPr>
      <w:r>
        <w:rPr>
          <w:rFonts w:ascii="Times New Roman" w:hAnsi="Times New Roman" w:eastAsia="Times New Roman"/>
          <w:color w:val="000000"/>
        </w:rPr>
        <w:t xml:space="preserve">4.2. Согласие на обработку персональных данных не используется как формальная замена законного основания там, где обработка необходима для исполнения обязанности Оператора по закону.</w:t>
      </w:r>
    </w:p>
    <w:p>
      <w:pPr>
        <w:pStyle w:val="BodyText"/>
      </w:pPr>
      <w:r>
        <w:rPr>
          <w:rFonts w:ascii="Times New Roman" w:hAnsi="Times New Roman" w:eastAsia="Times New Roman"/>
          <w:color w:val="000000"/>
        </w:rPr>
        <w:t xml:space="preserve">4.3. Если Оператор получает согласие субъекта, такое согласие должно быть конкретным, предметным, информированным, сознательным и однозначным. С 1 сентября 2025 года согласие оформляется отдельно от иных документов и информации, которые подтверждает или подписывает субъект.</w:t>
      </w:r>
    </w:p>
    <w:bookmarkEnd w:id="26"/>
    <w:bookmarkStart w:id="27" w:name="Xff2e027b14c19e0bed890894e4385c3e926ea04"/>
    <w:p>
      <w:pPr>
        <w:pStyle w:val="Heading2"/>
      </w:pPr>
      <w:r>
        <w:rPr>
          <w:rFonts w:ascii="Times New Roman" w:hAnsi="Times New Roman" w:eastAsia="Times New Roman"/>
          <w:color w:val="000000"/>
        </w:rPr>
        <w:t xml:space="preserve">5. Принципы и порядок обработки</w:t>
      </w:r>
    </w:p>
    <w:p>
      <w:pPr>
        <w:pStyle w:val="FirstParagraph"/>
      </w:pPr>
      <w:r>
        <w:rPr>
          <w:rFonts w:ascii="Times New Roman" w:hAnsi="Times New Roman" w:eastAsia="Times New Roman"/>
          <w:color w:val="000000"/>
        </w:rPr>
        <w:t xml:space="preserve">5.1. Обработка осуществляется законно и справедливо, ограничивается конкретными целями, а данные поддерживаются в точном и актуальном состоянии.</w:t>
      </w:r>
    </w:p>
    <w:p>
      <w:pPr>
        <w:pStyle w:val="BodyText"/>
      </w:pPr>
      <w:r>
        <w:rPr>
          <w:rFonts w:ascii="Times New Roman" w:hAnsi="Times New Roman" w:eastAsia="Times New Roman"/>
          <w:color w:val="000000"/>
        </w:rPr>
        <w:t xml:space="preserve">5.2. Доступ предоставляется только лицам, которым он необходим для исполнения обязанностей.</w:t>
      </w:r>
    </w:p>
    <w:p>
      <w:pPr>
        <w:pStyle w:val="BodyText"/>
      </w:pPr>
      <w:r>
        <w:rPr>
          <w:rFonts w:ascii="Times New Roman" w:hAnsi="Times New Roman" w:eastAsia="Times New Roman"/>
          <w:color w:val="000000"/>
        </w:rPr>
        <w:t xml:space="preserve">5.3. Передача персональных данных третьему лицу допускается при наличии законного основания. При поручении обработки внешнему исполнителю договор должен определять предусмотренные 152-ФЗ требования к обработке и защите данных.</w:t>
      </w:r>
    </w:p>
    <w:p>
      <w:pPr>
        <w:pStyle w:val="BodyText"/>
      </w:pPr>
      <w:r>
        <w:rPr>
          <w:rFonts w:ascii="Times New Roman" w:hAnsi="Times New Roman" w:eastAsia="Times New Roman"/>
          <w:color w:val="000000"/>
        </w:rPr>
        <w:t xml:space="preserve">5.4. При использовании облачных и иных информационных сервисов Оператор обязан до начала обработки определить роль поставщика сервиса, договорные условия обработки, места размещения баз данных, порядок доступа и меры защиты.</w:t>
      </w:r>
    </w:p>
    <w:p>
      <w:pPr>
        <w:pStyle w:val="BodyText"/>
      </w:pPr>
      <w:r>
        <w:rPr>
          <w:rFonts w:ascii="Times New Roman" w:hAnsi="Times New Roman" w:eastAsia="Times New Roman"/>
          <w:color w:val="000000"/>
        </w:rPr>
        <w:t xml:space="preserve">5.5. При сборе персональных данных граждан Российской Федерации, в том числе через сеть «Интернет», Оператор соблюдает требования законодательства о локализации баз данных на территории Российской Федерации, если закон не предусматривает исключение.</w:t>
      </w:r>
    </w:p>
    <w:p>
      <w:pPr>
        <w:pStyle w:val="BodyText"/>
      </w:pPr>
      <w:r>
        <w:rPr>
          <w:rFonts w:ascii="Times New Roman" w:hAnsi="Times New Roman" w:eastAsia="Times New Roman"/>
          <w:color w:val="000000"/>
        </w:rPr>
        <w:t xml:space="preserve">5.6. Трансграничная передача персональных данных осуществляется только при фактической необходимости и после выполнения требований 152-ФЗ. Если трансграничная передача не осуществляется, в уведомлении Роскомнадзора и внутренних документах указывается её отсутствие.</w:t>
      </w:r>
    </w:p>
    <w:bookmarkEnd w:id="27"/>
    <w:bookmarkStart w:id="28" w:name="X0c2b83557a9e5956db26b6c723f9b673ab42c63"/>
    <w:p>
      <w:pPr>
        <w:pStyle w:val="Heading2"/>
      </w:pPr>
      <w:r>
        <w:rPr>
          <w:rFonts w:ascii="Times New Roman" w:hAnsi="Times New Roman" w:eastAsia="Times New Roman"/>
          <w:color w:val="000000"/>
        </w:rPr>
        <w:t xml:space="preserve">6. Уведомление Роскомнадзора</w:t>
      </w:r>
    </w:p>
    <w:p>
      <w:pPr>
        <w:pStyle w:val="FirstParagraph"/>
      </w:pPr>
      <w:r>
        <w:rPr>
          <w:rFonts w:ascii="Times New Roman" w:hAnsi="Times New Roman" w:eastAsia="Times New Roman"/>
          <w:color w:val="000000"/>
        </w:rPr>
        <w:t xml:space="preserve">6.1. До начала обработки персональных данных Оператор направляет в Роскомнадзор уведомление об обработке персональных данных, кроме случаев, прямо предусмотренных частью 2 статьи 22 152-ФЗ.</w:t>
      </w:r>
    </w:p>
    <w:p>
      <w:pPr>
        <w:pStyle w:val="BodyText"/>
      </w:pPr>
      <w:r>
        <w:rPr>
          <w:rFonts w:ascii="Times New Roman" w:hAnsi="Times New Roman" w:eastAsia="Times New Roman"/>
          <w:color w:val="000000"/>
        </w:rPr>
        <w:t xml:space="preserve">6.2. Если персональные данные обрабатываются с использованием компьютеров, облачных сервисов, специализированного ПО, сайта или иных средств автоматизации, исключение для обработки исключительно без использования средств автоматизации, как правило, неприменимо.</w:t>
      </w:r>
    </w:p>
    <w:p>
      <w:pPr>
        <w:pStyle w:val="BodyText"/>
      </w:pPr>
      <w:r>
        <w:rPr>
          <w:rFonts w:ascii="Times New Roman" w:hAnsi="Times New Roman" w:eastAsia="Times New Roman"/>
          <w:color w:val="000000"/>
        </w:rPr>
        <w:t xml:space="preserve">6.3. Оператор обеспечивает актуальность сведений, внесённых в реестр операторов персональных данных, и направляет предусмотренные законом уведомления об изменении сведений и прекращении обработки.</w:t>
      </w:r>
    </w:p>
    <w:bookmarkEnd w:id="28"/>
    <w:bookmarkStart w:id="29" w:name="X62f61dc3d530a8865b05eda4b03fd28c742f4f5"/>
    <w:p>
      <w:pPr>
        <w:pStyle w:val="Heading2"/>
      </w:pPr>
      <w:r>
        <w:rPr>
          <w:rFonts w:ascii="Times New Roman" w:hAnsi="Times New Roman" w:eastAsia="Times New Roman"/>
          <w:color w:val="000000"/>
        </w:rPr>
        <w:t xml:space="preserve">7. Сроки хранения и прекращение обработки</w:t>
      </w:r>
    </w:p>
    <w:p>
      <w:pPr>
        <w:pStyle w:val="FirstParagraph"/>
      </w:pPr>
      <w:r>
        <w:rPr>
          <w:rFonts w:ascii="Times New Roman" w:hAnsi="Times New Roman" w:eastAsia="Times New Roman"/>
          <w:color w:val="000000"/>
        </w:rPr>
        <w:t xml:space="preserve">7.1. Персональные данные хранятся не дольше, чем этого требуют цели обработки, если более длительный срок не установлен федеральным законом, правилами бухгалтерского, налогового, трудового или архивного хранения либо договором.</w:t>
      </w:r>
    </w:p>
    <w:p>
      <w:pPr>
        <w:pStyle w:val="BodyText"/>
      </w:pPr>
      <w:r>
        <w:rPr>
          <w:rFonts w:ascii="Times New Roman" w:hAnsi="Times New Roman" w:eastAsia="Times New Roman"/>
          <w:color w:val="000000"/>
        </w:rPr>
        <w:t xml:space="preserve">7.2. Для каждой категории документов Оператор утверждает внутренний перечень сроков хранения с указанием нормативного основания. Не рекомендуется закреплять в настоящем универсальном образце единый срок для всех персональных данных члена после прекращения членства, поскольку отдельные документы имеют различные обязательные сроки хранения.</w:t>
      </w:r>
    </w:p>
    <w:p>
      <w:pPr>
        <w:pStyle w:val="BodyText"/>
      </w:pPr>
      <w:r>
        <w:rPr>
          <w:rFonts w:ascii="Times New Roman" w:hAnsi="Times New Roman" w:eastAsia="Times New Roman"/>
          <w:color w:val="000000"/>
        </w:rPr>
        <w:t xml:space="preserve">7.3. После достижения цели обработки и истечения обязательного срока хранения данные уничтожаются либо обезличиваются, если иное не предусмотрено законом.</w:t>
      </w:r>
    </w:p>
    <w:bookmarkEnd w:id="29"/>
    <w:bookmarkStart w:id="30" w:name="X32b165e0daf3fca545e7fe5601194db8b83953a"/>
    <w:p>
      <w:pPr>
        <w:pStyle w:val="Heading2"/>
      </w:pPr>
      <w:r>
        <w:rPr>
          <w:rFonts w:ascii="Times New Roman" w:hAnsi="Times New Roman" w:eastAsia="Times New Roman"/>
          <w:color w:val="000000"/>
        </w:rPr>
        <w:t xml:space="preserve">8. Уничтожение персональных данных</w:t>
      </w:r>
    </w:p>
    <w:p>
      <w:pPr>
        <w:pStyle w:val="FirstParagraph"/>
      </w:pPr>
      <w:r>
        <w:rPr>
          <w:rFonts w:ascii="Times New Roman" w:hAnsi="Times New Roman" w:eastAsia="Times New Roman"/>
          <w:color w:val="000000"/>
        </w:rPr>
        <w:t xml:space="preserve">8.1. Уничтожение осуществляется способом, исключающим восстановление данных в разумно доступной форме, с учётом характера носителя и применимых требований Роскомнадзора.</w:t>
      </w:r>
    </w:p>
    <w:p>
      <w:pPr>
        <w:pStyle w:val="BodyText"/>
      </w:pPr>
      <w:r>
        <w:rPr>
          <w:rFonts w:ascii="Times New Roman" w:hAnsi="Times New Roman" w:eastAsia="Times New Roman"/>
          <w:color w:val="000000"/>
        </w:rPr>
        <w:t xml:space="preserve">8.2. Бумажные носители уничтожаются шредированием или иным способом, исключающим восстановление; электронные данные удаляются с учётом резервных копий, журналов и технических особенностей используемой системы.</w:t>
      </w:r>
    </w:p>
    <w:p>
      <w:pPr>
        <w:pStyle w:val="BodyText"/>
      </w:pPr>
      <w:r>
        <w:rPr>
          <w:rFonts w:ascii="Times New Roman" w:hAnsi="Times New Roman" w:eastAsia="Times New Roman"/>
          <w:color w:val="000000"/>
        </w:rPr>
        <w:t xml:space="preserve">8.3. В случаях, когда законодательство требует подтверждения уничтожения, оформляются акт и/или выгрузка из журнала регистрации событий в установленной форме.</w:t>
      </w:r>
    </w:p>
    <w:bookmarkEnd w:id="30"/>
    <w:bookmarkStart w:id="31" w:name="X43822bdc140d0312d3054b451dbb7f8fe97e1e7"/>
    <w:p>
      <w:pPr>
        <w:pStyle w:val="Heading2"/>
      </w:pPr>
      <w:r>
        <w:rPr>
          <w:rFonts w:ascii="Times New Roman" w:hAnsi="Times New Roman" w:eastAsia="Times New Roman"/>
          <w:color w:val="000000"/>
        </w:rPr>
        <w:t xml:space="preserve">9. Ответственный за организацию обработки</w:t>
      </w:r>
    </w:p>
    <w:p>
      <w:pPr>
        <w:pStyle w:val="FirstParagraph"/>
      </w:pPr>
      <w:r>
        <w:rPr>
          <w:rFonts w:ascii="Times New Roman" w:hAnsi="Times New Roman" w:eastAsia="Times New Roman"/>
          <w:color w:val="000000"/>
        </w:rPr>
        <w:t xml:space="preserve">9.1. Ответственный назначается приказом председателя Товарищества.</w:t>
      </w:r>
    </w:p>
    <w:p>
      <w:pPr>
        <w:pStyle w:val="BodyText"/>
      </w:pPr>
      <w:r>
        <w:rPr>
          <w:rFonts w:ascii="Times New Roman" w:hAnsi="Times New Roman" w:eastAsia="Times New Roman"/>
          <w:color w:val="000000"/>
        </w:rPr>
        <w:t xml:space="preserve">9.2. Ответственный организует внутренний контроль, актуализацию локальных актов, рассмотрение обращений субъектов, взаимодействие с Роскомнадзором, обучение допущенных к данным лиц и реагирование на инциденты.</w:t>
      </w:r>
    </w:p>
    <w:bookmarkEnd w:id="31"/>
    <w:bookmarkStart w:id="32" w:name="Xdaa408e3a45a146e4cac1852601e58ee5c49f91"/>
    <w:p>
      <w:pPr>
        <w:pStyle w:val="Heading2"/>
      </w:pPr>
      <w:r>
        <w:rPr>
          <w:rFonts w:ascii="Times New Roman" w:hAnsi="Times New Roman" w:eastAsia="Times New Roman"/>
          <w:color w:val="000000"/>
        </w:rPr>
        <w:t xml:space="preserve">10. Права субъектов</w:t>
      </w:r>
    </w:p>
    <w:p>
      <w:pPr>
        <w:pStyle w:val="FirstParagraph"/>
      </w:pPr>
      <w:r>
        <w:rPr>
          <w:rFonts w:ascii="Times New Roman" w:hAnsi="Times New Roman" w:eastAsia="Times New Roman"/>
          <w:color w:val="000000"/>
        </w:rPr>
        <w:t xml:space="preserve">10.1. Субъект вправе получать предусмотренную статьёй 14 152-ФЗ информацию об обработке его данных, требовать уточнения, блокирования или уничтожения данных при наличии установленных законом оснований, отозвать согласие, когда обработка основана на согласии, а также обжаловать действия Оператора.</w:t>
      </w:r>
    </w:p>
    <w:p>
      <w:pPr>
        <w:pStyle w:val="BodyText"/>
      </w:pPr>
      <w:r>
        <w:rPr>
          <w:rFonts w:ascii="Times New Roman" w:hAnsi="Times New Roman" w:eastAsia="Times New Roman"/>
          <w:color w:val="000000"/>
        </w:rPr>
        <w:t xml:space="preserve">10.2. Отзыв согласия не прекращает обработку, если у Оператора имеется иное самостоятельное законное основание продолжить её.</w:t>
      </w:r>
    </w:p>
    <w:p>
      <w:pPr>
        <w:pStyle w:val="BodyText"/>
      </w:pPr>
      <w:r>
        <w:rPr>
          <w:rFonts w:ascii="Times New Roman" w:hAnsi="Times New Roman" w:eastAsia="Times New Roman"/>
          <w:color w:val="000000"/>
        </w:rPr>
        <w:t xml:space="preserve">10.3. Запросы субъектов рассматриваются в сроки, установленные 152-ФЗ в редакции, действующей на дату получения запроса.</w:t>
      </w:r>
    </w:p>
    <w:bookmarkEnd w:id="32"/>
    <w:bookmarkStart w:id="33" w:name="X63425803f748bc2341a0f43856bb11467651f44"/>
    <w:p>
      <w:pPr>
        <w:pStyle w:val="Heading2"/>
      </w:pPr>
      <w:r>
        <w:rPr>
          <w:rFonts w:ascii="Times New Roman" w:hAnsi="Times New Roman" w:eastAsia="Times New Roman"/>
          <w:color w:val="000000"/>
        </w:rPr>
        <w:t xml:space="preserve">11. Меры защиты</w:t>
      </w:r>
    </w:p>
    <w:p>
      <w:pPr>
        <w:pStyle w:val="FirstParagraph"/>
      </w:pPr>
      <w:r>
        <w:rPr>
          <w:rFonts w:ascii="Times New Roman" w:hAnsi="Times New Roman" w:eastAsia="Times New Roman"/>
          <w:color w:val="000000"/>
        </w:rPr>
        <w:t xml:space="preserve">11.1. Оператор принимает правовые, организационные и технические меры, соответствующие характеру и способам фактической обработки, включая:</w:t>
      </w:r>
    </w:p>
    <w:p>
      <w:pPr>
        <w:pStyle w:val="Compact"/>
        <w:numPr>
          <w:ilvl w:val="0"/>
          <w:numId w:val="1004"/>
        </w:numPr>
      </w:pPr>
      <w:r>
        <w:rPr>
          <w:rFonts w:ascii="Times New Roman" w:hAnsi="Times New Roman" w:eastAsia="Times New Roman"/>
          <w:color w:val="000000"/>
        </w:rPr>
        <w:t xml:space="preserve">назначение ответственного;</w:t>
      </w:r>
    </w:p>
    <w:p>
      <w:pPr>
        <w:pStyle w:val="Compact"/>
        <w:numPr>
          <w:ilvl w:val="0"/>
          <w:numId w:val="1004"/>
        </w:numPr>
      </w:pPr>
      <w:r>
        <w:rPr>
          <w:rFonts w:ascii="Times New Roman" w:hAnsi="Times New Roman" w:eastAsia="Times New Roman"/>
          <w:color w:val="000000"/>
        </w:rPr>
        <w:t xml:space="preserve">утверждение локальных актов и модели доступа;</w:t>
      </w:r>
    </w:p>
    <w:p>
      <w:pPr>
        <w:pStyle w:val="Compact"/>
        <w:numPr>
          <w:ilvl w:val="0"/>
          <w:numId w:val="1004"/>
        </w:numPr>
      </w:pPr>
      <w:r>
        <w:rPr>
          <w:rFonts w:ascii="Times New Roman" w:hAnsi="Times New Roman" w:eastAsia="Times New Roman"/>
          <w:color w:val="000000"/>
        </w:rPr>
        <w:t xml:space="preserve">учёт пользователей и прав доступа;</w:t>
      </w:r>
    </w:p>
    <w:p>
      <w:pPr>
        <w:pStyle w:val="Compact"/>
        <w:numPr>
          <w:ilvl w:val="0"/>
          <w:numId w:val="1004"/>
        </w:numPr>
      </w:pPr>
      <w:r>
        <w:rPr>
          <w:rFonts w:ascii="Times New Roman" w:hAnsi="Times New Roman" w:eastAsia="Times New Roman"/>
          <w:color w:val="000000"/>
        </w:rPr>
        <w:t xml:space="preserve">надёжную аутентификацию и смену паролей;</w:t>
      </w:r>
    </w:p>
    <w:p>
      <w:pPr>
        <w:pStyle w:val="Compact"/>
        <w:numPr>
          <w:ilvl w:val="0"/>
          <w:numId w:val="1004"/>
        </w:numPr>
      </w:pPr>
      <w:r>
        <w:rPr>
          <w:rFonts w:ascii="Times New Roman" w:hAnsi="Times New Roman" w:eastAsia="Times New Roman"/>
          <w:color w:val="000000"/>
        </w:rPr>
        <w:t xml:space="preserve">резервное копирование и проверку восстановления;</w:t>
      </w:r>
    </w:p>
    <w:p>
      <w:pPr>
        <w:pStyle w:val="Compact"/>
        <w:numPr>
          <w:ilvl w:val="0"/>
          <w:numId w:val="1004"/>
        </w:numPr>
      </w:pPr>
      <w:r>
        <w:rPr>
          <w:rFonts w:ascii="Times New Roman" w:hAnsi="Times New Roman" w:eastAsia="Times New Roman"/>
          <w:color w:val="000000"/>
        </w:rPr>
        <w:t xml:space="preserve">защиту рабочих станций и сетевого доступа;</w:t>
      </w:r>
    </w:p>
    <w:p>
      <w:pPr>
        <w:pStyle w:val="Compact"/>
        <w:numPr>
          <w:ilvl w:val="0"/>
          <w:numId w:val="1004"/>
        </w:numPr>
      </w:pPr>
      <w:r>
        <w:rPr>
          <w:rFonts w:ascii="Times New Roman" w:hAnsi="Times New Roman" w:eastAsia="Times New Roman"/>
          <w:color w:val="000000"/>
        </w:rPr>
        <w:t xml:space="preserve">ведение журналов доступа и действий там, где это необходимо;</w:t>
      </w:r>
    </w:p>
    <w:p>
      <w:pPr>
        <w:pStyle w:val="Compact"/>
        <w:numPr>
          <w:ilvl w:val="0"/>
          <w:numId w:val="1004"/>
        </w:numPr>
      </w:pPr>
      <w:r>
        <w:rPr>
          <w:rFonts w:ascii="Times New Roman" w:hAnsi="Times New Roman" w:eastAsia="Times New Roman"/>
          <w:color w:val="000000"/>
        </w:rPr>
        <w:t xml:space="preserve">физическую защиту бумажных архивов и оборудования;</w:t>
      </w:r>
    </w:p>
    <w:p>
      <w:pPr>
        <w:pStyle w:val="Compact"/>
        <w:numPr>
          <w:ilvl w:val="0"/>
          <w:numId w:val="1004"/>
        </w:numPr>
      </w:pPr>
      <w:r>
        <w:rPr>
          <w:rFonts w:ascii="Times New Roman" w:hAnsi="Times New Roman" w:eastAsia="Times New Roman"/>
          <w:color w:val="000000"/>
        </w:rPr>
        <w:t xml:space="preserve">регулярную актуализацию программного обеспечения;</w:t>
      </w:r>
    </w:p>
    <w:p>
      <w:pPr>
        <w:pStyle w:val="Compact"/>
        <w:numPr>
          <w:ilvl w:val="0"/>
          <w:numId w:val="1004"/>
        </w:numPr>
      </w:pPr>
      <w:r>
        <w:rPr>
          <w:rFonts w:ascii="Times New Roman" w:hAnsi="Times New Roman" w:eastAsia="Times New Roman"/>
          <w:color w:val="000000"/>
        </w:rPr>
        <w:t xml:space="preserve">оценку угроз и определение требуемого уровня защищённости информационных систем персональных данных;</w:t>
      </w:r>
    </w:p>
    <w:p>
      <w:pPr>
        <w:pStyle w:val="Compact"/>
        <w:numPr>
          <w:ilvl w:val="0"/>
          <w:numId w:val="1004"/>
        </w:numPr>
      </w:pPr>
      <w:r>
        <w:rPr>
          <w:rFonts w:ascii="Times New Roman" w:hAnsi="Times New Roman" w:eastAsia="Times New Roman"/>
          <w:color w:val="000000"/>
        </w:rPr>
        <w:t xml:space="preserve">договорные меры при привлечении обработчиков.</w:t>
      </w:r>
    </w:p>
    <w:p>
      <w:pPr>
        <w:pStyle w:val="FirstParagraph"/>
      </w:pPr>
      <w:r>
        <w:rPr>
          <w:rFonts w:ascii="Times New Roman" w:hAnsi="Times New Roman" w:eastAsia="Times New Roman"/>
          <w:color w:val="000000"/>
        </w:rPr>
        <w:t xml:space="preserve">11.2. Перечень мер конкретизируется по результатам анализа фактических информационных систем и угроз. Формальное указание мер, которые Товарищество в действительности не применяет, не допускается.</w:t>
      </w:r>
    </w:p>
    <w:bookmarkEnd w:id="33"/>
    <w:bookmarkStart w:id="34" w:name="X7b81c0cc0a19ebf7df9007703f44696fe5be5aa"/>
    <w:p>
      <w:pPr>
        <w:pStyle w:val="Heading2"/>
      </w:pPr>
      <w:r>
        <w:rPr>
          <w:rFonts w:ascii="Times New Roman" w:hAnsi="Times New Roman" w:eastAsia="Times New Roman"/>
          <w:color w:val="000000"/>
        </w:rPr>
        <w:t xml:space="preserve">12. Инциденты и неправомерная передача данных</w:t>
      </w:r>
    </w:p>
    <w:p>
      <w:pPr>
        <w:pStyle w:val="FirstParagraph"/>
      </w:pPr>
      <w:r>
        <w:rPr>
          <w:rFonts w:ascii="Times New Roman" w:hAnsi="Times New Roman" w:eastAsia="Times New Roman"/>
          <w:color w:val="000000"/>
        </w:rPr>
        <w:t xml:space="preserve">12.1. При выявлении неправомерной или случайной передачи (предоставления, распространения, доступа) персональных данных, повлёкшей нарушение прав субъектов, Оператор действует в соответствии со статьёй 21 152-ФЗ.</w:t>
      </w:r>
    </w:p>
    <w:p>
      <w:pPr>
        <w:pStyle w:val="BodyText"/>
      </w:pPr>
      <w:r>
        <w:rPr>
          <w:rFonts w:ascii="Times New Roman" w:hAnsi="Times New Roman" w:eastAsia="Times New Roman"/>
          <w:color w:val="000000"/>
        </w:rPr>
        <w:t xml:space="preserve">12.2. Роскомнадзор уведомляется в течение 24 часов с момента выявления такого инцидента с первоначальными сведениями, предусмотренными законом, а в течение 72 часов направляются результаты внутреннего расследования и дополнительные предусмотренные законом сведения.</w:t>
      </w:r>
    </w:p>
    <w:p>
      <w:pPr>
        <w:pStyle w:val="BodyText"/>
      </w:pPr>
      <w:r>
        <w:rPr>
          <w:rFonts w:ascii="Times New Roman" w:hAnsi="Times New Roman" w:eastAsia="Times New Roman"/>
          <w:color w:val="000000"/>
        </w:rPr>
        <w:t xml:space="preserve">12.3. Оператор фиксирует инцидент, принимает меры по прекращению неправомерного доступа, сохранению доказательств, снижению последствий и предотвращению повторения.</w:t>
      </w:r>
    </w:p>
    <w:p>
      <w:pPr>
        <w:pStyle w:val="BodyText"/>
      </w:pPr>
      <w:r>
        <w:rPr>
          <w:rFonts w:ascii="Times New Roman" w:hAnsi="Times New Roman" w:eastAsia="Times New Roman"/>
          <w:color w:val="000000"/>
        </w:rPr>
        <w:t xml:space="preserve">12.4. Информирование самих субъектов осуществляется в случаях и порядке, когда такая обязанность следует из законодательства, предписания уполномоченного органа либо когда Оператор принимает такое решение как необходимую меру защиты прав субъектов. Настоящая Политика не устанавливает универсальный автоматический срок уведомления субъектов, не предусмотренный законом.</w:t>
      </w:r>
    </w:p>
    <w:bookmarkEnd w:id="34"/>
    <w:bookmarkStart w:id="35" w:name="X25829759a937d65b8aa31344195f8efa0ec32e4"/>
    <w:p>
      <w:pPr>
        <w:pStyle w:val="Heading2"/>
      </w:pPr>
      <w:r>
        <w:rPr>
          <w:rFonts w:ascii="Times New Roman" w:hAnsi="Times New Roman" w:eastAsia="Times New Roman"/>
          <w:color w:val="000000"/>
        </w:rPr>
        <w:t xml:space="preserve">13. Видеонаблюдение и пропускной режим (при наличии)</w:t>
      </w:r>
    </w:p>
    <w:p>
      <w:pPr>
        <w:pStyle w:val="FirstParagraph"/>
      </w:pPr>
      <w:r>
        <w:rPr>
          <w:rFonts w:ascii="Times New Roman" w:hAnsi="Times New Roman" w:eastAsia="Times New Roman"/>
          <w:color w:val="000000"/>
        </w:rPr>
        <w:t xml:space="preserve">13.1. Если Товарищество использует видеонаблюдение, до его запуска определяются конкретная цель, правовое основание, зоны съёмки, срок хранения записей, круг лиц с доступом и порядок предоставления записей.</w:t>
      </w:r>
    </w:p>
    <w:p>
      <w:pPr>
        <w:pStyle w:val="BodyText"/>
      </w:pPr>
      <w:r>
        <w:rPr>
          <w:rFonts w:ascii="Times New Roman" w:hAnsi="Times New Roman" w:eastAsia="Times New Roman"/>
          <w:color w:val="000000"/>
        </w:rPr>
        <w:t xml:space="preserve">13.2. Камеры не размещаются в местах, где запись создаёт необоснованное вмешательство в частную жизнь. На территории размещаются информационные обозначения о видеонаблюдении.</w:t>
      </w:r>
    </w:p>
    <w:p>
      <w:pPr>
        <w:pStyle w:val="BodyText"/>
      </w:pPr>
      <w:r>
        <w:rPr>
          <w:rFonts w:ascii="Times New Roman" w:hAnsi="Times New Roman" w:eastAsia="Times New Roman"/>
          <w:color w:val="000000"/>
        </w:rPr>
        <w:t xml:space="preserve">13.3. Использование распознавания лиц или иной биометрической идентификации требует отдельной правовой оценки и не считается разрешённым настоящей Политикой автоматически.</w:t>
      </w:r>
    </w:p>
    <w:bookmarkEnd w:id="35"/>
    <w:bookmarkStart w:id="36" w:name="X7758db7ca74c2a783ef6824ed67f9a4aa9e3fa3"/>
    <w:p>
      <w:pPr>
        <w:pStyle w:val="Heading2"/>
      </w:pPr>
      <w:r>
        <w:rPr>
          <w:rFonts w:ascii="Times New Roman" w:hAnsi="Times New Roman" w:eastAsia="Times New Roman"/>
          <w:color w:val="000000"/>
        </w:rPr>
        <w:t xml:space="preserve">14. Заключительные положения</w:t>
      </w:r>
    </w:p>
    <w:p>
      <w:pPr>
        <w:pStyle w:val="FirstParagraph"/>
      </w:pPr>
      <w:r>
        <w:rPr>
          <w:rFonts w:ascii="Times New Roman" w:hAnsi="Times New Roman" w:eastAsia="Times New Roman"/>
          <w:color w:val="000000"/>
        </w:rPr>
        <w:t xml:space="preserve">14.1. Политика вступает в силу с даты утверждения.</w:t>
      </w:r>
    </w:p>
    <w:p>
      <w:pPr>
        <w:pStyle w:val="BodyText"/>
      </w:pPr>
      <w:r>
        <w:rPr>
          <w:rFonts w:ascii="Times New Roman" w:hAnsi="Times New Roman" w:eastAsia="Times New Roman"/>
          <w:color w:val="000000"/>
        </w:rPr>
        <w:t xml:space="preserve">14.2. Политика пересматривается при изменении законодательства, целей обработки, состава информационных систем, подрядчиков или способов обработки.</w:t>
      </w:r>
    </w:p>
    <w:p>
      <w:pPr>
        <w:pStyle w:val="BodyText"/>
      </w:pPr>
      <w:r>
        <w:rPr>
          <w:rFonts w:ascii="Times New Roman" w:hAnsi="Times New Roman" w:eastAsia="Times New Roman"/>
          <w:color w:val="000000"/>
        </w:rPr>
        <w:t xml:space="preserve">14.3. Работники и иные лица, допущенные к обработке персональных данных, знакомятся с применимыми локальными актами и несут ответственность в соответствии с законодательством.</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i/>
          <w:iCs/>
          <w:color w:val="000000"/>
        </w:rPr>
        <w:t xml:space="preserve">Ответственный за организацию обработки персональных данных: ____________________ /[ФИО]/</w:t>
      </w:r>
    </w:p>
    <w:bookmarkEnd w:id="36"/>
    <w:bookmarkEnd w:id="37"/>
    <w:sectPr>
      <w:pgSz w:h="16838" w:w="11906"/>
      <w:pgMar w:bottom="1134" w:left="1417" w:right="1020"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line="276" w:lineRule="auto"/>
      <w:ind w:firstLine="0"/>
    </w:pPr>
    <w:rPr>
      <w:rFonts w:ascii="Times New Roman" w:eastAsia="Times New Roman" w:hAnsi="Times New Roman"/>
      <w:sz w:val="24"/>
    </w:rPr>
  </w:style>
  <w:style w:styleId="BodyText" w:type="paragraph">
    <w:name w:val="Body Text"/>
    <w:basedOn w:val="Normal"/>
    <w:link w:val="BodyTextChar"/>
    <w:qFormat/>
    <w:pPr>
      <w:spacing w:after="180" w:before="180"/>
    </w:pPr>
    <w:rPr>
      <w:rFonts w:ascii="Times New Roman" w:eastAsia="Times New Roman" w:hAnsi="Times New Roman"/>
      <w:sz w:val="24"/>
    </w:rPr>
  </w:style>
  <w:style w:customStyle="1" w:styleId="FirstParagraph" w:type="paragraph">
    <w:name w:val="First Paragraph"/>
    <w:basedOn w:val="BodyText"/>
    <w:next w:val="BodyText"/>
    <w:qFormat/>
    <w:rPr>
      <w:rFonts w:ascii="Times New Roman" w:eastAsia="Times New Roman" w:hAnsi="Times New Roman"/>
      <w:sz w:val="24"/>
    </w:rPr>
  </w:style>
  <w:style w:customStyle="1" w:styleId="Compact" w:type="paragraph">
    <w:name w:val="Compact"/>
    <w:basedOn w:val="BodyText"/>
    <w:qFormat/>
    <w:pPr>
      <w:spacing w:after="36" w:before="36"/>
    </w:pPr>
    <w:rPr>
      <w:rFonts w:ascii="Times New Roman" w:eastAsia="Times New Roman" w:hAnsi="Times New Roman"/>
      <w:sz w:val="24"/>
    </w:rPr>
  </w:style>
  <w:style w:styleId="Title" w:type="paragraph">
    <w:name w:val="Title"/>
    <w:basedOn w:val="Normal"/>
    <w:next w:val="BodyText"/>
    <w:qFormat/>
    <w:pPr>
      <w:keepNext/>
      <w:keepLines/>
      <w:spacing w:after="240" w:before="480"/>
      <w:jc w:val="center"/>
    </w:pPr>
    <w:rPr>
      <w:rFonts w:ascii="Times New Roman" w:asciiTheme="majorHAnsi" w:cstheme="majorBidi" w:eastAsia="Times New Roman" w:eastAsiaTheme="majorEastAsia" w:hAnsi="Times New Roman" w:hAnsiTheme="majorHAnsi"/>
      <w:b/>
      <w:bCs/>
      <w:color w:themeColor="accent1" w:themeShade="B5" w:val="345A8A"/>
      <w:sz w:val="32"/>
      <w:szCs w:val="36"/>
    </w:rPr>
  </w:style>
  <w:style w:styleId="Subtitle" w:type="paragraph">
    <w:name w:val="Subtitle"/>
    <w:basedOn w:val="Title"/>
    <w:next w:val="BodyText"/>
    <w:qFormat/>
    <w:pPr>
      <w:keepNext/>
      <w:keepLines/>
      <w:spacing w:after="240" w:before="240"/>
      <w:jc w:val="center"/>
    </w:pPr>
    <w:rPr>
      <w:rFonts w:ascii="Times New Roman" w:eastAsia="Times New Roman" w:hAnsi="Times New Roman"/>
      <w:b/>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eastAsia="Times New Roman" w:hAnsi="Times New Roman"/>
      <w:sz w:val="24"/>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rPr>
      <w:rFonts w:ascii="Times New Roman" w:eastAsia="Times New Roman" w:hAnsi="Times New Roman"/>
      <w:sz w:val="21"/>
    </w:rPr>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rFonts w:ascii="Times New Roman" w:eastAsia="Times New Roman" w:hAnsi="Times New Roman"/>
      <w:sz w:val="21"/>
    </w:r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2026-09-06T06:50:25Z</dcterms:created>
  <dcterms:modified xsi:type="dcterms:W3CDTF">2026-09-06T06:50:25Z</dcterms:modified>
</cp:coreProperties>
</file>

<file path=docProps/custom.xml><?xml version="1.0" encoding="utf-8"?>
<Properties xmlns="http://schemas.openxmlformats.org/officeDocument/2006/custom-properties" xmlns:vt="http://schemas.openxmlformats.org/officeDocument/2006/docPropsVTypes"/>
</file>