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8" w:name="положение"/>
    <w:p>
      <w:pPr>
        <w:pStyle w:val="Heading1"/>
        <w:spacing w:after="60"/>
        <w:jc w:val="center"/>
      </w:pPr>
      <w:r>
        <w:rPr>
          <w:rFonts w:ascii="Times New Roman" w:hAnsi="Times New Roman" w:eastAsia="Times New Roman"/>
          <w:color w:val="000000"/>
        </w:rPr>
        <w:t xml:space="preserve">ПОЛОЖЕНИЕ</w:t>
      </w:r>
    </w:p>
    <w:bookmarkStart w:id="37" w:name="об-оплате-труда-работников"/>
    <w:p>
      <w:pPr>
        <w:pStyle w:val="Heading2"/>
        <w:spacing w:after="60"/>
        <w:jc w:val="center"/>
      </w:pPr>
      <w:r>
        <w:rPr>
          <w:rFonts w:ascii="Times New Roman" w:hAnsi="Times New Roman" w:eastAsia="Times New Roman"/>
          <w:color w:val="000000"/>
        </w:rPr>
        <w:t xml:space="preserve">об оплате труда работников</w:t>
      </w:r>
    </w:p>
    <w:bookmarkStart w:id="20" w:name="Xf58828a048e84552d6cc94edf3130cba96d3c70"/>
    <w:p>
      <w:pPr>
        <w:pStyle w:val="Heading3"/>
        <w:spacing w:after="60"/>
        <w:jc w:val="center"/>
      </w:pPr>
      <w:r>
        <w:rPr>
          <w:rFonts w:ascii="Times New Roman" w:hAnsi="Times New Roman" w:eastAsia="Times New Roman"/>
          <w:color w:val="000000"/>
        </w:rPr>
        <w:t xml:space="preserve">Садоводческого некоммерческого товарищества</w:t>
      </w:r>
    </w:p>
    <w:bookmarkEnd w:id="20"/>
    <w:bookmarkStart w:id="21" w:name="наименование-снт"/>
    <w:p>
      <w:pPr>
        <w:pStyle w:val="Heading3"/>
        <w:spacing w:after="60"/>
        <w:jc w:val="center"/>
      </w:pPr>
      <w:r>
        <w:rPr>
          <w:rFonts w:ascii="Times New Roman" w:hAnsi="Times New Roman" w:eastAsia="Times New Roman"/>
          <w:color w:val="000000"/>
        </w:rPr>
        <w:t xml:space="preserve">«[Наименование СНТ]»</w:t>
      </w:r>
    </w:p>
    <w:p>
      <w:pPr>
        <w:pStyle w:val="BlockText"/>
      </w:pPr>
      <w:r>
        <w:rPr>
          <w:rFonts w:ascii="Times New Roman" w:hAnsi="Times New Roman" w:eastAsia="Times New Roman"/>
          <w:b/>
          <w:bCs/>
          <w:color w:val="000000"/>
        </w:rPr>
        <w:t xml:space="preserve">Примечание к образцу.</w:t>
      </w:r>
      <w:r>
        <w:rPr>
          <w:rFonts w:ascii="Times New Roman" w:hAnsi="Times New Roman" w:eastAsia="Times New Roman"/>
          <w:color w:val="000000"/>
        </w:rPr>
        <w:t xml:space="preserve"> </w:t>
      </w:r>
      <w:r>
        <w:rPr>
          <w:rFonts w:ascii="Times New Roman" w:hAnsi="Times New Roman" w:eastAsia="Times New Roman"/>
          <w:color w:val="000000"/>
        </w:rPr>
        <w:t xml:space="preserve">Актуализировано по состоянию на 06.09.2026. Документ является типовым образцом и требует адаптации под устав, фактическую структуру управления и решения конкретного СНТ. Профессиональная юридическая экспертиза проекта не проводилась.</w:t>
      </w:r>
    </w:p>
    <w:p>
      <w:r>
        <w:rPr>
          <w:rFonts w:ascii="Times New Roman" w:hAnsi="Times New Roman" w:eastAsia="Times New Roman"/>
          <w:color w:val="000000"/>
        </w:rP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ascii="Times New Roman" w:hAnsi="Times New Roman" w:eastAsia="Times New Roman"/>
          <w:b/>
          <w:bCs/>
          <w:color w:val="000000"/>
        </w:rPr>
        <w:t xml:space="preserve">УТВЕРЖДЕНО</w:t>
      </w:r>
      <w:r>
        <w:rPr>
          <w:rFonts w:ascii="Times New Roman" w:hAnsi="Times New Roman" w:eastAsia="Times New Roman"/>
          <w:color w:val="000000"/>
        </w:rPr>
        <w:t xml:space="preserve"> </w:t>
      </w:r>
      <w:r>
        <w:rPr>
          <w:rFonts w:ascii="Times New Roman" w:hAnsi="Times New Roman" w:eastAsia="Times New Roman"/>
          <w:color w:val="000000"/>
        </w:rPr>
        <w:t xml:space="preserve">Решением общего собрания членов</w:t>
      </w:r>
      <w:r>
        <w:rPr>
          <w:rFonts w:ascii="Times New Roman" w:hAnsi="Times New Roman" w:eastAsia="Times New Roman"/>
          <w:color w:val="000000"/>
        </w:rPr>
        <w:t xml:space="preserve"> </w:t>
      </w:r>
      <w:r>
        <w:rPr>
          <w:rFonts w:ascii="Times New Roman" w:hAnsi="Times New Roman" w:eastAsia="Times New Roman"/>
          <w:color w:val="000000"/>
        </w:rPr>
        <w:t xml:space="preserve">[Наименование СНТ]</w:t>
      </w:r>
      <w:r>
        <w:rPr>
          <w:rFonts w:ascii="Times New Roman" w:hAnsi="Times New Roman" w:eastAsia="Times New Roman"/>
          <w:color w:val="000000"/>
        </w:rPr>
        <w:t xml:space="preserve"> </w:t>
      </w:r>
      <w:r>
        <w:rPr>
          <w:rFonts w:ascii="Times New Roman" w:hAnsi="Times New Roman" w:eastAsia="Times New Roman"/>
          <w:color w:val="000000"/>
        </w:rPr>
        <w:t xml:space="preserve">Протокол № [Номер протокола] от [Дата]</w:t>
      </w:r>
    </w:p>
    <w:p>
      <w:r>
        <w:rPr>
          <w:rFonts w:ascii="Times New Roman" w:hAnsi="Times New Roman" w:eastAsia="Times New Roman"/>
          <w:color w:val="000000"/>
        </w:rPr>
        <w:pict>
          <v:rect style="width:0;height:1.5pt" o:hralign="center" o:hrstd="t" o:hr="t"/>
        </w:pict>
      </w:r>
    </w:p>
    <w:bookmarkEnd w:id="21"/>
    <w:bookmarkStart w:id="22" w:name="Xc4211d805ccb1d1758c2b033f718de644cb7c63"/>
    <w:p>
      <w:pPr>
        <w:pStyle w:val="Heading3"/>
      </w:pPr>
      <w:r>
        <w:rPr>
          <w:rFonts w:ascii="Times New Roman" w:hAnsi="Times New Roman" w:eastAsia="Times New Roman"/>
          <w:color w:val="000000"/>
        </w:rPr>
        <w:t xml:space="preserve">1. Общие положения</w:t>
      </w:r>
    </w:p>
    <w:p>
      <w:pPr>
        <w:pStyle w:val="FirstParagraph"/>
      </w:pPr>
      <w:r>
        <w:rPr>
          <w:rFonts w:ascii="Times New Roman" w:hAnsi="Times New Roman" w:eastAsia="Times New Roman"/>
          <w:color w:val="000000"/>
        </w:rPr>
        <w:t xml:space="preserve">1.1. Настоящее Положение об оплате труда работников (далее — Положение) разработано в соответствии с Трудовым кодексом Российской Федерации (далее — ТК РФ), Налоговым кодексом Российской Федерации, Федеральным законом от 29.07.2017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 (далее — Федеральный закон № 217-ФЗ), Уставом Садоводческого некоммерческого товарищества «[Наименование СНТ]» (далее — Товарищество) и иными нормативными правовыми актами Российской Федерации.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1.2. Настоящее Положение устанавливает систему оплаты труда, порядок начисления и выплаты заработной платы, компенсационных и стимулирующих выплат работникам Товарищества, с которыми заключены трудовые договоры.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1.3. Действие настоящего Положения распространяется на всех работников Товарищества, работающих по трудовым договорам, независимо от занимаемой должности и срока трудового договора.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1.4. Настоящее Положение не распространяется на лиц, выполняющих работы (оказывающих услуги) по договорам гражданско-правового характера, если иное не предусмотрено соответствующим договором.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1.5. Финансирование расходов на оплату труда работников Товарищества осуществляется за счёт средств, предусмотренных приходно-расходной сметой Товарищества на соответствующий финансовый год.</w:t>
      </w:r>
    </w:p>
    <w:bookmarkEnd w:id="22"/>
    <w:bookmarkStart w:id="26" w:name="X5b83b385e3691bd5e6784367efc912220aed7eb"/>
    <w:p>
      <w:pPr>
        <w:pStyle w:val="Heading3"/>
      </w:pPr>
      <w:r>
        <w:rPr>
          <w:rFonts w:ascii="Times New Roman" w:hAnsi="Times New Roman" w:eastAsia="Times New Roman"/>
          <w:color w:val="000000"/>
        </w:rPr>
        <w:t xml:space="preserve">2. Система оплаты труда</w:t>
      </w:r>
    </w:p>
    <w:bookmarkStart w:id="23" w:name="X61eb2e9699194c8b438e9c1aec50f45f69df2a4"/>
    <w:p>
      <w:pPr>
        <w:pStyle w:val="Heading4"/>
      </w:pPr>
      <w:r>
        <w:rPr>
          <w:rFonts w:ascii="Times New Roman" w:hAnsi="Times New Roman" w:eastAsia="Times New Roman"/>
          <w:color w:val="000000"/>
        </w:rPr>
        <w:t xml:space="preserve">2.1. Основные элементы системы оплаты труда</w:t>
      </w:r>
    </w:p>
    <w:p>
      <w:pPr>
        <w:pStyle w:val="FirstParagraph"/>
      </w:pPr>
      <w:r>
        <w:rPr>
          <w:rFonts w:ascii="Times New Roman" w:hAnsi="Times New Roman" w:eastAsia="Times New Roman"/>
          <w:color w:val="000000"/>
        </w:rPr>
        <w:t xml:space="preserve">2.1.1. Система оплаты труда работников Товарищества включает в себя: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а) должностные оклады (тарифные ставки);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б) компенсационные выплаты (надбавки и доплаты компенсационного характера);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в) стимулирующие выплаты (надбавки и доплаты стимулирующего характера, премии);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г) иные выплаты в соответствии с ТК РФ и трудовыми договорами.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2.1.2. Система оплаты труда является повременно-премиальной.</w:t>
      </w:r>
    </w:p>
    <w:bookmarkEnd w:id="23"/>
    <w:bookmarkStart w:id="24" w:name="Xfe4154f4db2f6f8913192434cc72cf900e4c612"/>
    <w:p>
      <w:pPr>
        <w:pStyle w:val="Heading4"/>
      </w:pPr>
      <w:r>
        <w:rPr>
          <w:rFonts w:ascii="Times New Roman" w:hAnsi="Times New Roman" w:eastAsia="Times New Roman"/>
          <w:color w:val="000000"/>
        </w:rPr>
        <w:t xml:space="preserve">2.2. Штатное расписание</w:t>
      </w:r>
    </w:p>
    <w:p>
      <w:pPr>
        <w:pStyle w:val="FirstParagraph"/>
      </w:pPr>
      <w:r>
        <w:rPr>
          <w:rFonts w:ascii="Times New Roman" w:hAnsi="Times New Roman" w:eastAsia="Times New Roman"/>
          <w:color w:val="000000"/>
        </w:rPr>
        <w:t xml:space="preserve">2.2.1. Штатное расписание Товарищества определяет перечень должностей (профессий), количество штатных единиц, размеры должностных окладов (тарифных ставок) и утверждается председателем Товарищества в пределах средств, предусмотренных приходно-расходной сметой.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2.2.2. Проект штатного расписания на очередной финансовый год разрабатывается правлением Товарищества и выносится на утверждение общего собрания в составе финансово-экономического обоснования размера взносов и приходно-расходной сметы.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2.2.3. Изменения в штатное расписание вносятся приказом председателя Товарищества, а в части, требующей изменения сметы, — по решению общего собрания.</w:t>
      </w:r>
    </w:p>
    <w:bookmarkEnd w:id="24"/>
    <w:bookmarkStart w:id="25" w:name="X436ecf2bf761694d28bb0343be55d7782afa568"/>
    <w:p>
      <w:pPr>
        <w:pStyle w:val="Heading4"/>
      </w:pPr>
      <w:r>
        <w:rPr>
          <w:rFonts w:ascii="Times New Roman" w:hAnsi="Times New Roman" w:eastAsia="Times New Roman"/>
          <w:color w:val="000000"/>
        </w:rPr>
        <w:t xml:space="preserve">2.3. Тарифная сетка и оклады</w:t>
      </w:r>
    </w:p>
    <w:p>
      <w:pPr>
        <w:pStyle w:val="FirstParagraph"/>
      </w:pPr>
      <w:r>
        <w:rPr>
          <w:rFonts w:ascii="Times New Roman" w:hAnsi="Times New Roman" w:eastAsia="Times New Roman"/>
          <w:color w:val="000000"/>
        </w:rPr>
        <w:t xml:space="preserve">2.3.1. Размеры должностных окладов (тарифных ставок) устанавливаются исходя из: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а) квалификационных требований к должности (профессии);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б) сложности выполняемой работы;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в) уровня ответственности;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г) рыночного уровня оплаты труда в данной местности;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д) финансовых возможностей Товарищества, определённых приходно-расходной сметой.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2.3.2. Примерная тарифная сетка должностей Товарищества:</w:t>
      </w:r>
    </w:p>
    <w:tbl>
      <w:tblPr>
        <w:tblStyle w:val="Table"/>
        <w:tblW w:type="auto" w:w="0"/>
        <w:jc w:val="left"/>
        <w:tblLayout w:type="autofit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Категория</w:t>
            </w:r>
          </w:p>
        </w:tc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Должности</w:t>
            </w:r>
          </w:p>
        </w:tc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Кратность к базовому окладу</w:t>
            </w:r>
          </w:p>
        </w:tc>
      </w:tr>
      <w:tr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I</w:t>
            </w:r>
          </w:p>
        </w:tc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Председатель (исполнительный директор)</w:t>
            </w:r>
          </w:p>
        </w:tc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[3,0–5,0]</w:t>
            </w:r>
          </w:p>
        </w:tc>
      </w:tr>
      <w:tr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II</w:t>
            </w:r>
          </w:p>
        </w:tc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Главный бухгалтер, главный инженер, главный энергетик</w:t>
            </w:r>
          </w:p>
        </w:tc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[2,0–3,0]</w:t>
            </w:r>
          </w:p>
        </w:tc>
      </w:tr>
      <w:tr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III</w:t>
            </w:r>
          </w:p>
        </w:tc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Бухгалтер, электрик, сантехник, администратор</w:t>
            </w:r>
          </w:p>
        </w:tc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[1,5–2,0]</w:t>
            </w:r>
          </w:p>
        </w:tc>
      </w:tr>
      <w:tr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IV</w:t>
            </w:r>
          </w:p>
        </w:tc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Секретарь, казначей, делопроизводитель</w:t>
            </w:r>
          </w:p>
        </w:tc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[1,0–1,5]</w:t>
            </w:r>
          </w:p>
        </w:tc>
      </w:tr>
      <w:tr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V</w:t>
            </w:r>
          </w:p>
        </w:tc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Сторож, дворник, разнорабочий, уборщик</w:t>
            </w:r>
          </w:p>
        </w:tc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  <w:t xml:space="preserve">[1,0]</w:t>
            </w:r>
          </w:p>
        </w:tc>
      </w:tr>
    </w:tbl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2.3.3. При полностью отработанной за месяц норме рабочего времени и выполнении норм труда месячная заработная плата работника не может быть ниже минимального размера оплаты труда, а в применимых случаях — минимальной заработной платы, установленной в субъекте Российской Федерации. Размер отдельного должностного оклада оценивается с учётом состава заработной платы и требований статей 133 и 133.1 ТК РФ.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2.3.4. Конкретный размер оклада каждого работника устанавливается в трудовом договоре на основании штатного расписания.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2.3.5. Условия оплаты труда председателя Товарищества, членов правления и ревизионной комиссии (ревизора), если с ними заключены трудовые договоры, определяются общим собранием членов Товарищества в пределах его исключительной компетенции. Председатель не определяет сам себе размер оплаты, премий и иных стимулирующих выплат.</w:t>
      </w:r>
    </w:p>
    <w:bookmarkEnd w:id="25"/>
    <w:bookmarkEnd w:id="26"/>
    <w:bookmarkStart w:id="27" w:name="X4a4041f510ee93b435e4de3d72de2334c172bca"/>
    <w:p>
      <w:pPr>
        <w:pStyle w:val="Heading3"/>
      </w:pPr>
      <w:r>
        <w:rPr>
          <w:rFonts w:ascii="Times New Roman" w:hAnsi="Times New Roman" w:eastAsia="Times New Roman"/>
          <w:color w:val="000000"/>
        </w:rPr>
        <w:t xml:space="preserve">3. Компенсационные выплаты</w:t>
      </w:r>
    </w:p>
    <w:p>
      <w:pPr>
        <w:pStyle w:val="FirstParagraph"/>
      </w:pPr>
      <w:r>
        <w:rPr>
          <w:rFonts w:ascii="Times New Roman" w:hAnsi="Times New Roman" w:eastAsia="Times New Roman"/>
          <w:color w:val="000000"/>
        </w:rPr>
        <w:t xml:space="preserve">3.1. Работникам Товарищества могут устанавливаться следующие компенсационные выплаты (доплаты и надбавки) в соответствии с ТК РФ: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а) за работу в выходные и нерабочие праздничные дни — в размере, установленном статьёй 153 ТК РФ;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б) за сверхурочную работу — в размере, установленном статьёй 152 ТК РФ;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в) за работу в ночное время (с 22:00 до 06:00) — не менее 20% часовой тарифной ставки (оклада) за каждый час работы (статья 154 ТК РФ);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г) за совмещение профессий (должностей), расширение зон обслуживания, увеличение объёма работы, исполнение обязанностей временно отсутствующего работника — в размере, определяемом соглашением сторон трудового договора (статья 151 ТК РФ);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д) за работу с вредными и (или) опасными условиями труда — в размере не менее 4% оклада (тарифной ставки) при наличии подтверждённых результатов специальной оценки условий труда.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3.2. Размер компенсационных выплат фиксируется в приказе председателя Товарищества.</w:t>
      </w:r>
    </w:p>
    <w:bookmarkEnd w:id="27"/>
    <w:bookmarkStart w:id="30" w:name="Xdc8eaa41d8b790cdfa72a0321b790c9582e252f"/>
    <w:p>
      <w:pPr>
        <w:pStyle w:val="Heading3"/>
      </w:pPr>
      <w:r>
        <w:rPr>
          <w:rFonts w:ascii="Times New Roman" w:hAnsi="Times New Roman" w:eastAsia="Times New Roman"/>
          <w:color w:val="000000"/>
        </w:rPr>
        <w:t xml:space="preserve">4. Стимулирующие выплаты</w:t>
      </w:r>
    </w:p>
    <w:bookmarkStart w:id="28" w:name="Xab3cb522e32b923cd7ce55186be0f96b76e36a9"/>
    <w:p>
      <w:pPr>
        <w:pStyle w:val="Heading4"/>
      </w:pPr>
      <w:r>
        <w:rPr>
          <w:rFonts w:ascii="Times New Roman" w:hAnsi="Times New Roman" w:eastAsia="Times New Roman"/>
          <w:color w:val="000000"/>
        </w:rPr>
        <w:t xml:space="preserve">4.1. Надбавки стимулирующего характера</w:t>
      </w:r>
    </w:p>
    <w:p>
      <w:pPr>
        <w:pStyle w:val="FirstParagraph"/>
      </w:pPr>
      <w:r>
        <w:rPr>
          <w:rFonts w:ascii="Times New Roman" w:hAnsi="Times New Roman" w:eastAsia="Times New Roman"/>
          <w:color w:val="000000"/>
        </w:rPr>
        <w:t xml:space="preserve">4.1.1. Работникам Товарищества могут устанавливаться следующие ежемесячные надбавки стимулирующего характера: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а) надбавка за стаж работы в Товариществе: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— от 1 до 3 лет — [5]% оклада;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— от 3 до 5 лет — [10]% оклада;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— от 5 до 10 лет — [15]% оклада;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— свыше 10 лет — [20]% оклада;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б) надбавка за квалификацию (при наличии подтверждающих документов о повышении квалификации, профессиональной переподготовке) — до [10]% оклада;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в) надбавка за интенсивность и высокие результаты работы — до [20]% оклада;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г) надбавка за выполнение особо важных и срочных работ — до [30]% оклада.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4.1.2. Надбавки устанавливаются приказом председателя Товарищества по согласованию с правлением в пределах утверждённой сметы.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4.1.3. Надбавки могут быть уменьшены или отменены приказом председателя Товарищества при снижении показателей работы, нарушении трудовой дисциплины.</w:t>
      </w:r>
    </w:p>
    <w:bookmarkEnd w:id="28"/>
    <w:bookmarkStart w:id="29" w:name="X7b82bdfe6bb5d413f39e63b7719d10ab1aa8b56"/>
    <w:p>
      <w:pPr>
        <w:pStyle w:val="Heading4"/>
      </w:pPr>
      <w:r>
        <w:rPr>
          <w:rFonts w:ascii="Times New Roman" w:hAnsi="Times New Roman" w:eastAsia="Times New Roman"/>
          <w:color w:val="000000"/>
        </w:rPr>
        <w:t xml:space="preserve">4.2. Премирование</w:t>
      </w:r>
    </w:p>
    <w:p>
      <w:pPr>
        <w:pStyle w:val="FirstParagraph"/>
      </w:pPr>
      <w:r>
        <w:rPr>
          <w:rFonts w:ascii="Times New Roman" w:hAnsi="Times New Roman" w:eastAsia="Times New Roman"/>
          <w:color w:val="000000"/>
        </w:rPr>
        <w:t xml:space="preserve">4.2.1. Премирование работников Товарищества осуществляется при наличии финансовой возможности и при условии достижения следующих критериев (показателей премирования):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а) надлежащее и своевременное выполнение должностных обязанностей и поручений;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б) выполнение плана работ, установленного правлением Товарищества;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в) отсутствие обоснованных жалоб со стороны членов Товарищества;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г) отсутствие нарушений трудовой дисциплины;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д) соблюдение правил охраны труда и техники безопасности;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е) экономия бюджетных средств при сохранении качества работ.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4.2.2. Премирование может осуществляться в следующих формах: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а) ежемесячная премия — по результатам работы за месяц;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б) квартальная премия — по результатам работы за квартал;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в) годовая премия — по итогам работы за календарный год;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г) единовременная премия — в связи с юбилейными датами, профессиональным праздником, иными значимыми событиями;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д) премия за выполнение особо важных заданий — по факту выполнения конкретной задачи.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4.2.3. Максимальный размер премии (суммарно по всем видам премий за расчётный период) не может превышать [50]% должностного оклада работника за соответствующий период, за исключением случаев, прямо предусмотренных решением общего собрания.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4.2.4. Решение о выплате премии и её конкретном размере принимается председателем Товарищества по согласованию с правлением и оформляется приказом.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4.2.5. При установлении системы премирования в настоящем Положении, трудовых договорах и иных локальных актах должны быть определены виды премий, их размеры, сроки, основания и условия выплаты.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4.2.6. Наличие дисциплинарного взыскания может учитываться при премировании только в пределах, допускаемых статьёй 135 ТК РФ. Если снижение премии связано с применением дисциплинарного взыскания, оно может относиться только к премиям, начисляемым за период, в котором применено соответствующее взыскание, и не должно приводить к уменьшению месячной заработной платы работника более чем на 20 процентов.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4.2.7. Решение о размере премии оформляется приказом работодателя и должно соответствовать заранее установленным критериям. Премия не может быть произвольно снижена или отменена задним числом при выполнении работником всех условий, при которых локальный акт предусматривает обязанность работодателя её выплатить.</w:t>
      </w:r>
    </w:p>
    <w:bookmarkEnd w:id="29"/>
    <w:bookmarkEnd w:id="30"/>
    <w:bookmarkStart w:id="31" w:name="X2ef306036b7d04b39380aefcdd33f907e491b61"/>
    <w:p>
      <w:pPr>
        <w:pStyle w:val="Heading3"/>
      </w:pPr>
      <w:r>
        <w:rPr>
          <w:rFonts w:ascii="Times New Roman" w:hAnsi="Times New Roman" w:eastAsia="Times New Roman"/>
          <w:color w:val="000000"/>
        </w:rPr>
        <w:t xml:space="preserve">5. Индексация заработной платы</w:t>
      </w:r>
    </w:p>
    <w:p>
      <w:pPr>
        <w:pStyle w:val="FirstParagraph"/>
      </w:pPr>
      <w:r>
        <w:rPr>
          <w:rFonts w:ascii="Times New Roman" w:hAnsi="Times New Roman" w:eastAsia="Times New Roman"/>
          <w:color w:val="000000"/>
        </w:rPr>
        <w:t xml:space="preserve">5.1. Товарищество обеспечивает повышение уровня реального содержания заработной платы посредством индексации в связи с ростом потребительских цен на товары и услуги в соответствии со статьёй 134 ТК РФ.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5.2. Для Товарищества как работодателя, не относящегося к государственным или муниципальным учреждениям, порядок индексации устанавливается настоящим Положением, трудовыми договорами и (при наличии) коллективным договором.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5.3. Индексация проводится [один раз в год, указать дату] на коэффициент [указать объективный показатель: индекс потребительских цен Росстата за определённый период / иной закреплённый показатель]. Конкретный механизм должен быть сформулирован однозначно и применяться ко всем работникам, на которых распространяется настоящее Положение.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5.4. Недостаточность запланированных средств сама по себе не отменяет установленную работодателем обязанность по индексации. При необходимости председатель и правление обязаны своевременно инициировать корректировку Сметы и вынесение соответствующего вопроса на общее собрание.</w:t>
      </w:r>
    </w:p>
    <w:bookmarkEnd w:id="31"/>
    <w:bookmarkStart w:id="32" w:name="Xf190d864a0722d50e87109e774b31b089e34e16"/>
    <w:p>
      <w:pPr>
        <w:pStyle w:val="Heading3"/>
      </w:pPr>
      <w:r>
        <w:rPr>
          <w:rFonts w:ascii="Times New Roman" w:hAnsi="Times New Roman" w:eastAsia="Times New Roman"/>
          <w:color w:val="000000"/>
        </w:rPr>
        <w:t xml:space="preserve">6. Порядок выплаты заработной платы</w:t>
      </w:r>
    </w:p>
    <w:p>
      <w:pPr>
        <w:pStyle w:val="FirstParagraph"/>
      </w:pPr>
      <w:r>
        <w:rPr>
          <w:rFonts w:ascii="Times New Roman" w:hAnsi="Times New Roman" w:eastAsia="Times New Roman"/>
          <w:color w:val="000000"/>
        </w:rPr>
        <w:t xml:space="preserve">6.1. Заработная плата выплачивается работникам не реже чем каждые полмесяца в следующие сроки: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а) аванс (за первую половину месяца) — [20]-го числа текущего месяца;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б) окончательный расчёт (за вторую половину месяца) — [5]-го числа месяца, следующего за расчётным.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6.2. При совпадении дня выплаты с выходным или нерабочим праздничным днём выплата производится накануне этого дня.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6.3. Выплата заработной платы производится путём перечисления денежных средств на банковские карты работников (зарплатный проект), а при отсутствии такой возможности — наличными денежными средствами из кассы Товарищества.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6.4. При выплате заработной платы работодатель обязан извещать в письменной форме каждого работника о составных частях заработной платы путём выдачи расчётного листка (статья 136 ТК РФ).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6.5. Форма расчётного листка утверждается председателем Товарищества.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6.6. Оплата отпуска производится не позднее чем за три дня до его начала (статья 136 ТК РФ).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6.7. При прекращении трудового договора выплата всех сумм, причитающихся работнику, производится в день увольнения. Если работник в день увольнения не работал, соответствующие суммы выплачиваются не позднее следующего дня после предъявления уволенным работником требования о расчёте (статья 140 ТК РФ).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6.8. При нарушении работодателем установленного срока выплаты заработной платы, оплаты отпуска, выплат при увольнении и (или) других выплат, причитающихся работнику, работодатель обязан выплатить их с уплатой процентов (денежной компенсации) в размере не ниже одной сто пятидесятой действующей в это время ключевой ставки Центрального банка Российской Федерации от не выплаченных в срок сумм за каждый день задержки (статья 236 ТК РФ).</w:t>
      </w:r>
    </w:p>
    <w:bookmarkEnd w:id="32"/>
    <w:bookmarkStart w:id="33" w:name="X438123d6ee7c60e2823104492602a6a953c35d0"/>
    <w:p>
      <w:pPr>
        <w:pStyle w:val="Heading3"/>
      </w:pPr>
      <w:r>
        <w:rPr>
          <w:rFonts w:ascii="Times New Roman" w:hAnsi="Times New Roman" w:eastAsia="Times New Roman"/>
          <w:color w:val="000000"/>
        </w:rPr>
        <w:t xml:space="preserve">7. Удержания из заработной платы</w:t>
      </w:r>
    </w:p>
    <w:p>
      <w:pPr>
        <w:pStyle w:val="FirstParagraph"/>
      </w:pPr>
      <w:r>
        <w:rPr>
          <w:rFonts w:ascii="Times New Roman" w:hAnsi="Times New Roman" w:eastAsia="Times New Roman"/>
          <w:color w:val="000000"/>
        </w:rPr>
        <w:t xml:space="preserve">7.1. Из заработной платы работника удерживаются суммы только в случаях и порядке, предусмотренных законодательством Российской Федерации, в том числе: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а) налог на доходы физических лиц (НДФЛ), когда Товарищество выступает налоговым агентом;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б) суммы по исполнительным документам — в порядке, установленном законодательством об исполнительном производстве;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в) иные суммы, удержание которых прямо допускается законом.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7.1.1. Страховые взносы и иные обязательные начисления работодателя не являются удержаниями из заработной платы работника. С 2023 года функции ПФР и ФСС осуществляет Фонд пенсионного и социального страхования Российской Федерации (Социальный фонд России).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7.2. По инициативе работодателя могут производиться следующие удержания (статья 137 ТК РФ):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а) для возмещения неотработанного аванса, выданного работнику в счёт заработной платы;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б) для погашения неизрасходованного и своевременно не возвращённого аванса, выданного в связи со служебной командировкой;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в) для возврата сумм, излишне выплаченных работнику вследствие счётных ошибок;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г) при увольнении работника до окончания того рабочего года, в счёт которого он уже получил ежегодный оплачиваемый отпуск, за неотработанные дни отпуска.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7.3. Размер удержаний ограничивается статьёй 138 ТК РФ: по общему правилу — не более 20% при каждой выплате, в случаях, предусмотренных федеральными законами, — не более 50%, а в специально установленных законом случаях — до 70%. Конкретный предел определяется по основанию соответствующего удержания.</w:t>
      </w:r>
    </w:p>
    <w:bookmarkEnd w:id="33"/>
    <w:bookmarkStart w:id="34" w:name="X7a7326b02497752ccb78b14eada8f954fbac613"/>
    <w:p>
      <w:pPr>
        <w:pStyle w:val="Heading3"/>
      </w:pPr>
      <w:r>
        <w:rPr>
          <w:rFonts w:ascii="Times New Roman" w:hAnsi="Times New Roman" w:eastAsia="Times New Roman"/>
          <w:color w:val="000000"/>
        </w:rPr>
        <w:t xml:space="preserve">8. Материальная ответственность работников</w:t>
      </w:r>
    </w:p>
    <w:p>
      <w:pPr>
        <w:pStyle w:val="FirstParagraph"/>
      </w:pPr>
      <w:r>
        <w:rPr>
          <w:rFonts w:ascii="Times New Roman" w:hAnsi="Times New Roman" w:eastAsia="Times New Roman"/>
          <w:color w:val="000000"/>
        </w:rPr>
        <w:t xml:space="preserve">8.1. Работники Товарищества несут материальную ответственность за прямой действительный ущерб, причинённый Товариществу, в пределах и порядке, установленных главой 39 ТК РФ.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8.2. Материальная ответственность в полном размере причинённого ущерба возлагается на работника в случаях, предусмотренных статьёй 243 ТК РФ, в том числе: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а) недостача ценностей, вверенных работнику на основании специального письменного договора или полученных по разовому документу;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б) умышленное причинение ущерба;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в) причинение ущерба в состоянии алкогольного, наркотического или токсического опьянения;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г) причинение ущерба в результате преступных действий, установленных приговором суда;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д) причинение ущерба в результате административного проступка, если таковой установлен соответствующим государственным органом;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е) причинение ущерба не при исполнении работником трудовых обязанностей.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8.3. Договоры о полной индивидуальной или коллективной (бригадной) материальной ответственности заключаются только в случаях и с работниками (работами), для которых такая ответственность допускается ТК РФ и действующими нормативными актами. Председатель Товарищества не вправе своим приказом произвольно расширять предусмотренный законодательством круг случаев полной материальной ответственности.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8.4. До принятия решения о возмещении ущерба конкретными работниками работодатель обязан провести проверку для установления размера причинённого ущерба и причин его возникновения в порядке, установленном статьёй 247 ТК РФ.</w:t>
      </w:r>
    </w:p>
    <w:bookmarkEnd w:id="34"/>
    <w:bookmarkStart w:id="35" w:name="X0a703fa7aabd4e2e6a431fc11794be69b7322a7"/>
    <w:p>
      <w:pPr>
        <w:pStyle w:val="Heading3"/>
      </w:pPr>
      <w:r>
        <w:rPr>
          <w:rFonts w:ascii="Times New Roman" w:hAnsi="Times New Roman" w:eastAsia="Times New Roman"/>
          <w:color w:val="000000"/>
        </w:rPr>
        <w:t xml:space="preserve">9. Отпуска и пособия</w:t>
      </w:r>
    </w:p>
    <w:p>
      <w:pPr>
        <w:pStyle w:val="FirstParagraph"/>
      </w:pPr>
      <w:r>
        <w:rPr>
          <w:rFonts w:ascii="Times New Roman" w:hAnsi="Times New Roman" w:eastAsia="Times New Roman"/>
          <w:color w:val="000000"/>
        </w:rPr>
        <w:t xml:space="preserve">9.1. Работникам Товарищества предоставляется ежегодный основной оплачиваемый отпуск продолжительностью 28 календарных дней (статья 115 ТК РФ).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9.2. Отдельным категориям работников может предоставляться ежегодный дополнительный оплачиваемый отпуск в случаях, предусмотренных ТК РФ и иными федеральными законами.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9.3. Очерёдность предоставления отпусков устанавливается графиком отпусков, утверждаемым председателем Товарищества не позднее чем за две недели до наступления календарного года (статья 123 ТК РФ).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9.4. По семейным обстоятельствам и другим уважительным причинам работнику по его письменному заявлению может быть предоставлен отпуск без сохранения заработной платы, продолжительность которого определяется соглашением сторон (статья 128 ТК РФ).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9.5. Обеспечение работника пособием по временной нетрудоспособности осуществляется в соответствии с Федеральным законом от 29.12.2006 № 255-ФЗ и действующим порядком выплаты пособий работодателем и Социальным фондом России.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9.6. Работникам, направляемым в служебные командировки, производится оплата расходов в порядке и размерах, установленных постановлением Правительства Российской Федерации и локальными нормативными актами Товарищества.</w:t>
      </w:r>
    </w:p>
    <w:bookmarkEnd w:id="35"/>
    <w:bookmarkStart w:id="36" w:name="Xea56d4468d652dd6332cb9a85bbc3da28b1329a"/>
    <w:p>
      <w:pPr>
        <w:pStyle w:val="Heading3"/>
      </w:pPr>
      <w:r>
        <w:rPr>
          <w:rFonts w:ascii="Times New Roman" w:hAnsi="Times New Roman" w:eastAsia="Times New Roman"/>
          <w:color w:val="000000"/>
        </w:rPr>
        <w:t xml:space="preserve">10. Заключительные положения</w:t>
      </w:r>
    </w:p>
    <w:p>
      <w:pPr>
        <w:pStyle w:val="FirstParagraph"/>
      </w:pPr>
      <w:r>
        <w:rPr>
          <w:rFonts w:ascii="Times New Roman" w:hAnsi="Times New Roman" w:eastAsia="Times New Roman"/>
          <w:color w:val="000000"/>
        </w:rPr>
        <w:t xml:space="preserve">10.1. Настоящее Положение вступает в силу с момента его утверждения общим собранием членов Товарищества.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10.2. Изменения и дополнения в настоящее Положение вносятся по решению общего собрания членов Товарищества.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10.3. Вопросы, не урегулированные настоящим Положением, разрешаются в соответствии с Трудовым кодексом Российской Федерации, иными нормативными правовыми актами Российской Федерации, Уставом Товарищества и решениями общего собрания членов Товарищества.</w:t>
      </w:r>
    </w:p>
    <w:p>
      <w:pPr>
        <w:pStyle w:val="BodyText"/>
      </w:pPr>
      <w:r>
        <w:rPr>
          <w:rFonts w:ascii="Times New Roman" w:hAnsi="Times New Roman" w:eastAsia="Times New Roman"/>
          <w:color w:val="000000"/>
        </w:rPr>
        <w:t xml:space="preserve">10.4. Все работники Товарищества должны быть ознакомлены под роспись с настоящим Положением при приёме на работу, а также при внесении в него изменений.</w:t>
      </w:r>
    </w:p>
    <w:p>
      <w:r>
        <w:rPr>
          <w:rFonts w:ascii="Times New Roman" w:hAnsi="Times New Roman" w:eastAsia="Times New Roman"/>
          <w:color w:val="000000"/>
        </w:rP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ascii="Times New Roman" w:hAnsi="Times New Roman" w:eastAsia="Times New Roman"/>
          <w:i/>
          <w:iCs/>
          <w:color w:val="000000"/>
        </w:rPr>
        <w:t xml:space="preserve">Председатель общего собрания: ____________________ /[ФИО]/</w:t>
      </w:r>
    </w:p>
    <w:p>
      <w:pPr>
        <w:pStyle w:val="BodyText"/>
      </w:pPr>
      <w:r>
        <w:rPr>
          <w:rFonts w:ascii="Times New Roman" w:hAnsi="Times New Roman" w:eastAsia="Times New Roman"/>
          <w:i/>
          <w:iCs/>
          <w:color w:val="000000"/>
        </w:rPr>
        <w:t xml:space="preserve">Секретарь общего собрания: ____________________ /[ФИО]/</w:t>
      </w:r>
    </w:p>
    <w:bookmarkEnd w:id="36"/>
    <w:bookmarkEnd w:id="37"/>
    <w:bookmarkEnd w:id="38"/>
    <w:sectPr>
      <w:pgSz w:h="16838" w:w="11906"/>
      <w:pgMar w:bottom="1134" w:left="1417" w:right="1020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80" w:line="276" w:lineRule="auto"/>
      <w:ind w:firstLine="0"/>
    </w:pPr>
    <w:rPr>
      <w:rFonts w:ascii="Times New Roman" w:eastAsia="Times New Roman" w:hAnsi="Times New Roman"/>
      <w:sz w:val="24"/>
    </w:rPr>
  </w:style>
  <w:style w:styleId="BodyText" w:type="paragraph">
    <w:name w:val="Body Text"/>
    <w:basedOn w:val="Normal"/>
    <w:link w:val="BodyTextChar"/>
    <w:qFormat/>
    <w:pPr>
      <w:spacing w:after="180" w:before="180"/>
    </w:pPr>
    <w:rPr>
      <w:rFonts w:ascii="Times New Roman" w:eastAsia="Times New Roman" w:hAnsi="Times New Roman"/>
      <w:sz w:val="24"/>
    </w:rPr>
  </w:style>
  <w:style w:customStyle="1" w:styleId="FirstParagraph" w:type="paragraph">
    <w:name w:val="First Paragraph"/>
    <w:basedOn w:val="BodyText"/>
    <w:next w:val="BodyText"/>
    <w:qFormat/>
    <w:rPr>
      <w:rFonts w:ascii="Times New Roman" w:eastAsia="Times New Roman" w:hAnsi="Times New Roman"/>
      <w:sz w:val="24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Times New Roman" w:eastAsia="Times New Roman" w:hAnsi="Times New Roman"/>
      <w:sz w:val="24"/>
    </w:r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="Times New Roman" w:asciiTheme="majorHAnsi" w:cstheme="majorBidi" w:eastAsia="Times New Roman" w:eastAsiaTheme="majorEastAsia" w:hAnsi="Times New Roman" w:hAnsiTheme="majorHAnsi"/>
      <w:b/>
      <w:bCs/>
      <w:color w:themeColor="accent1" w:themeShade="B5" w:val="345A8A"/>
      <w:sz w:val="32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rFonts w:ascii="Times New Roman" w:eastAsia="Times New Roman" w:hAnsi="Times New Roman"/>
      <w:b/>
      <w:sz w:val="26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  <w:rPr>
      <w:rFonts w:ascii="Times New Roman" w:eastAsia="Times New Roman" w:hAnsi="Times New Roman"/>
      <w:sz w:val="24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rPr>
      <w:rFonts w:ascii="Times New Roman" w:eastAsia="Times New Roman" w:hAnsi="Times New Roman"/>
      <w:sz w:val="21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  <w:rPr>
      <w:rFonts w:ascii="Times New Roman" w:eastAsia="Times New Roman" w:hAnsi="Times New Roman"/>
      <w:sz w:val="21"/>
    </w:r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2026-09-06T06:50:25Z</dcterms:created>
  <dcterms:modified xsi:type="dcterms:W3CDTF">2026-09-06T06:50:25Z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